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宋体" w:eastAsia="黑体"/>
          <w:b/>
          <w:spacing w:val="-106"/>
          <w:sz w:val="72"/>
          <w:szCs w:val="72"/>
        </w:rPr>
      </w:pPr>
      <w:r>
        <w:rPr>
          <w:rFonts w:ascii="宋体" w:hAnsi="宋体" w:cs="宋体"/>
          <w:b/>
          <w:bCs/>
          <w:spacing w:val="-80"/>
          <w:kern w:val="0"/>
          <w:sz w:val="36"/>
          <w:szCs w:val="36"/>
          <w:lang w:eastAsia="ko-KR"/>
        </w:rPr>
        <w:pict>
          <v:shape id="_x0000_i1025" o:spt="136" type="#_x0000_t136" style="height:53.25pt;width:298.5pt;" fillcolor="#FF0000" filled="t" coordsize="21600,21600" adj="10800">
            <v:path/>
            <v:fill on="t" focussize="0,0"/>
            <v:stroke color="#FF0000"/>
            <v:imagedata o:title=""/>
            <o:lock v:ext="edit" grouping="f" rotation="f" text="f" aspectratio="f"/>
            <v:textpath on="t" fitshape="t" fitpath="t" trim="t" xscale="f" string="도문시농업및축목업국" style="font-family:宋体;font-size:28pt;v-text-align:center;"/>
            <w10:wrap type="none"/>
            <w10:anchorlock/>
          </v:shape>
        </w:pict>
      </w:r>
    </w:p>
    <w:p>
      <w:pPr>
        <w:rPr>
          <w:rFonts w:ascii="黑体" w:hAnsi="宋体" w:eastAsia="黑体"/>
          <w:b/>
          <w:spacing w:val="-106"/>
          <w:sz w:val="72"/>
          <w:szCs w:val="72"/>
        </w:rPr>
      </w:pPr>
      <w:r>
        <w:rPr>
          <w:rFonts w:ascii="宋体" w:hAnsi="宋体" w:cs="宋体"/>
          <w:b/>
          <w:bCs/>
          <w:spacing w:val="-80"/>
          <w:kern w:val="0"/>
          <w:sz w:val="30"/>
          <w:szCs w:val="30"/>
        </w:rPr>
        <w:pict>
          <v:shape id="_x0000_i1026" o:spt="136" type="#_x0000_t136" style="height:54pt;width:298.5pt;" fillcolor="#FF0000" filled="t" coordsize="21600,21600" adj="10800">
            <v:path/>
            <v:fill on="t" focussize="0,0"/>
            <v:stroke color="#FF0000"/>
            <v:imagedata o:title=""/>
            <o:lock v:ext="edit" grouping="f" rotation="f" text="f" aspectratio="f"/>
            <v:textpath on="t" fitshape="t" fitpath="t" trim="t" xscale="f" string="图们市农业和畜牧业局" style="font-family:宋体;font-size:28pt;font-weight:bold;v-text-align:center;"/>
            <w10:wrap type="none"/>
            <w10:anchorlock/>
          </v:shape>
        </w:pict>
      </w:r>
      <w:r>
        <mc:AlternateContent>
          <mc:Choice Requires="wps">
            <w:drawing>
              <wp:anchor distT="0" distB="0" distL="114300" distR="114300" simplePos="0" relativeHeight="251659264" behindDoc="0" locked="0" layoutInCell="1" allowOverlap="1">
                <wp:simplePos x="0" y="0"/>
                <wp:positionH relativeFrom="column">
                  <wp:posOffset>3800475</wp:posOffset>
                </wp:positionH>
                <wp:positionV relativeFrom="paragraph">
                  <wp:posOffset>0</wp:posOffset>
                </wp:positionV>
                <wp:extent cx="2200275" cy="1470660"/>
                <wp:effectExtent l="5080" t="4445" r="4445" b="10795"/>
                <wp:wrapNone/>
                <wp:docPr id="1" name="文本框 4"/>
                <wp:cNvGraphicFramePr/>
                <a:graphic xmlns:a="http://schemas.openxmlformats.org/drawingml/2006/main">
                  <a:graphicData uri="http://schemas.microsoft.com/office/word/2010/wordprocessingShape">
                    <wps:wsp>
                      <wps:cNvSpPr txBox="1"/>
                      <wps:spPr>
                        <a:xfrm>
                          <a:off x="0" y="0"/>
                          <a:ext cx="2200275" cy="147066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eastAsia="Batang"/>
                                <w:b/>
                                <w:color w:val="FF0000"/>
                                <w:spacing w:val="20"/>
                                <w:sz w:val="144"/>
                                <w:szCs w:val="84"/>
                                <w:lang w:eastAsia="ko-KR"/>
                              </w:rPr>
                            </w:pPr>
                            <w:r>
                              <w:rPr>
                                <w:rFonts w:hint="eastAsia"/>
                                <w:b/>
                                <w:color w:val="FF0000"/>
                                <w:spacing w:val="20"/>
                                <w:sz w:val="144"/>
                                <w:szCs w:val="84"/>
                              </w:rPr>
                              <w:t>文件</w:t>
                            </w:r>
                          </w:p>
                          <w:p>
                            <w:pPr>
                              <w:rPr>
                                <w:b/>
                                <w:sz w:val="84"/>
                                <w:szCs w:val="84"/>
                              </w:rPr>
                            </w:pPr>
                          </w:p>
                          <w:p>
                            <w:pPr>
                              <w:rPr>
                                <w:b/>
                                <w:sz w:val="84"/>
                                <w:szCs w:val="84"/>
                              </w:rPr>
                            </w:pPr>
                          </w:p>
                        </w:txbxContent>
                      </wps:txbx>
                      <wps:bodyPr upright="1"/>
                    </wps:wsp>
                  </a:graphicData>
                </a:graphic>
              </wp:anchor>
            </w:drawing>
          </mc:Choice>
          <mc:Fallback>
            <w:pict>
              <v:shape id="文本框 4" o:spid="_x0000_s1026" o:spt="202" type="#_x0000_t202" style="position:absolute;left:0pt;margin-left:299.25pt;margin-top:0pt;height:115.8pt;width:173.25pt;z-index:251659264;mso-width-relative:page;mso-height-relative:page;" fillcolor="#FFFFFF" filled="t" stroked="t" coordsize="21600,21600" o:gfxdata="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LyYU7TXAAAACAEAAA8AAAAAAAAAAQAgAAAAIgAAAGRycy9kb3ducmV2LnhtbFBLAQIUABQAAAAI&#10;AIdO4kDjnywd7gEAAOkDAAAOAAAAAAAAAAEAIAAAACYBAABkcnMvZTJvRG9jLnhtbFBLBQYAAAAA&#10;BgAGAFkBAACGBQAAAAA=&#10;">
                <v:fill on="t" focussize="0,0"/>
                <v:stroke color="#FFFFFF" joinstyle="miter"/>
                <v:imagedata o:title=""/>
                <o:lock v:ext="edit" aspectratio="f"/>
                <v:textbox>
                  <w:txbxContent>
                    <w:p>
                      <w:pPr>
                        <w:rPr>
                          <w:rFonts w:eastAsia="Batang"/>
                          <w:b/>
                          <w:color w:val="FF0000"/>
                          <w:spacing w:val="20"/>
                          <w:sz w:val="144"/>
                          <w:szCs w:val="84"/>
                          <w:lang w:eastAsia="ko-KR"/>
                        </w:rPr>
                      </w:pPr>
                      <w:r>
                        <w:rPr>
                          <w:rFonts w:hint="eastAsia"/>
                          <w:b/>
                          <w:color w:val="FF0000"/>
                          <w:spacing w:val="20"/>
                          <w:sz w:val="144"/>
                          <w:szCs w:val="84"/>
                        </w:rPr>
                        <w:t>文件</w:t>
                      </w:r>
                    </w:p>
                    <w:p>
                      <w:pPr>
                        <w:rPr>
                          <w:b/>
                          <w:sz w:val="84"/>
                          <w:szCs w:val="84"/>
                        </w:rPr>
                      </w:pPr>
                    </w:p>
                    <w:p>
                      <w:pPr>
                        <w:rPr>
                          <w:b/>
                          <w:sz w:val="84"/>
                          <w:szCs w:val="84"/>
                        </w:rPr>
                      </w:pPr>
                    </w:p>
                  </w:txbxContent>
                </v:textbox>
              </v:shape>
            </w:pict>
          </mc:Fallback>
        </mc:AlternateContent>
      </w:r>
    </w:p>
    <w:p>
      <w:pPr>
        <w:rPr>
          <w:rFonts w:ascii="宋体" w:hAnsi="宋体" w:cs="宋体"/>
          <w:b/>
          <w:bCs/>
          <w:spacing w:val="-80"/>
          <w:kern w:val="0"/>
          <w:sz w:val="30"/>
          <w:szCs w:val="30"/>
        </w:rPr>
      </w:pPr>
      <w:r>
        <w:rPr>
          <w:rFonts w:ascii="宋体" w:hAnsi="宋体" w:cs="宋体"/>
          <w:b/>
          <w:bCs/>
          <w:spacing w:val="-80"/>
          <w:kern w:val="0"/>
          <w:sz w:val="30"/>
          <w:szCs w:val="30"/>
        </w:rPr>
        <w:pict>
          <v:shape id="_x0000_i1027" o:spt="136" type="#_x0000_t136" style="height:47.25pt;width:298.5pt;" fillcolor="#FF0000" filled="t" coordsize="21600,21600" adj="10800">
            <v:path/>
            <v:fill on="t" focussize="0,0"/>
            <v:stroke color="#FF0000"/>
            <v:imagedata o:title=""/>
            <o:lock v:ext="edit" grouping="f" rotation="f" text="f" aspectratio="f"/>
            <v:textpath on="t" fitshape="t" fitpath="t" trim="t" xscale="f" string="도문시재정국" style="font-family:宋体;font-size:28pt;v-text-align:center;"/>
            <w10:wrap type="none"/>
            <w10:anchorlock/>
          </v:shape>
        </w:pict>
      </w:r>
    </w:p>
    <w:p>
      <w:pPr>
        <w:rPr>
          <w:rFonts w:ascii="宋体" w:hAnsi="宋体" w:eastAsia="Batang" w:cs="宋体"/>
          <w:b/>
          <w:bCs/>
          <w:spacing w:val="-80"/>
          <w:kern w:val="0"/>
          <w:sz w:val="30"/>
          <w:szCs w:val="30"/>
          <w:lang w:eastAsia="ko-KR"/>
        </w:rPr>
      </w:pPr>
      <w:r>
        <w:rPr>
          <w:rFonts w:ascii="宋体" w:hAnsi="宋体" w:cs="宋体"/>
          <w:b/>
          <w:bCs/>
          <w:spacing w:val="-80"/>
          <w:kern w:val="0"/>
          <w:sz w:val="30"/>
          <w:szCs w:val="30"/>
        </w:rPr>
        <w:pict>
          <v:shape id="_x0000_i1028" o:spt="136" type="#_x0000_t136" style="height:48pt;width:298.5pt;" fillcolor="#FF0000" filled="t" coordsize="21600,21600" adj="10800">
            <v:path/>
            <v:fill on="t" focussize="0,0"/>
            <v:stroke color="#FF0000"/>
            <v:imagedata o:title=""/>
            <o:lock v:ext="edit" grouping="f" rotation="f" text="f" aspectratio="f"/>
            <v:textpath on="t" fitshape="t" fitpath="t" trim="t" xscale="f" string="图们市财政局" style="font-family:宋体;font-size:28pt;v-text-align:center;"/>
            <w10:wrap type="none"/>
            <w10:anchorlock/>
          </v:shape>
        </w:pict>
      </w:r>
    </w:p>
    <w:p>
      <w:pPr>
        <w:jc w:val="center"/>
        <w:rPr>
          <w:rFonts w:ascii="仿宋_GB2312" w:eastAsia="仿宋_GB2312"/>
          <w:sz w:val="32"/>
        </w:rPr>
      </w:pPr>
      <w:r>
        <w:rPr>
          <w:rFonts w:hint="eastAsia" w:ascii="仿宋_GB2312" w:eastAsia="仿宋_GB2312"/>
          <w:sz w:val="32"/>
        </w:rPr>
        <w:t>图农财联〔201</w:t>
      </w:r>
      <w:r>
        <w:rPr>
          <w:rFonts w:hint="eastAsia" w:ascii="仿宋_GB2312" w:eastAsia="仿宋_GB2312"/>
          <w:sz w:val="32"/>
          <w:lang w:val="en-US" w:eastAsia="zh-CN"/>
        </w:rPr>
        <w:t>7</w:t>
      </w:r>
      <w:r>
        <w:rPr>
          <w:rFonts w:hint="eastAsia" w:ascii="仿宋_GB2312" w:eastAsia="仿宋_GB2312"/>
          <w:sz w:val="32"/>
        </w:rPr>
        <w:t>〕</w:t>
      </w:r>
      <w:r>
        <w:rPr>
          <w:rFonts w:hint="eastAsia" w:ascii="仿宋_GB2312" w:eastAsia="仿宋_GB2312"/>
          <w:sz w:val="32"/>
          <w:lang w:val="en-US" w:eastAsia="zh-CN"/>
        </w:rPr>
        <w:t>23</w:t>
      </w:r>
      <w:r>
        <w:rPr>
          <w:rFonts w:hint="eastAsia" w:ascii="仿宋_GB2312" w:eastAsia="仿宋_GB2312"/>
          <w:sz w:val="32"/>
        </w:rPr>
        <w:t>号</w:t>
      </w:r>
    </w:p>
    <w:p>
      <w:pPr>
        <w:jc w:val="center"/>
        <w:rPr>
          <w:b/>
          <w:bCs/>
          <w:color w:val="FF0000"/>
          <w:szCs w:val="21"/>
        </w:rPr>
      </w:pPr>
      <w:r>
        <mc:AlternateContent>
          <mc:Choice Requires="wps">
            <w:drawing>
              <wp:anchor distT="0" distB="0" distL="114300" distR="114300" simplePos="0" relativeHeight="251658240" behindDoc="0" locked="0" layoutInCell="1" allowOverlap="1">
                <wp:simplePos x="0" y="0"/>
                <wp:positionH relativeFrom="column">
                  <wp:posOffset>-113030</wp:posOffset>
                </wp:positionH>
                <wp:positionV relativeFrom="paragraph">
                  <wp:posOffset>100965</wp:posOffset>
                </wp:positionV>
                <wp:extent cx="5565775" cy="41910"/>
                <wp:effectExtent l="0" t="9525" r="15875" b="24765"/>
                <wp:wrapNone/>
                <wp:docPr id="2" name="直接连接符 3"/>
                <wp:cNvGraphicFramePr/>
                <a:graphic xmlns:a="http://schemas.openxmlformats.org/drawingml/2006/main">
                  <a:graphicData uri="http://schemas.microsoft.com/office/word/2010/wordprocessingShape">
                    <wps:wsp>
                      <wps:cNvCnPr/>
                      <wps:spPr>
                        <a:xfrm>
                          <a:off x="0" y="0"/>
                          <a:ext cx="5565775" cy="4191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直接连接符 3" o:spid="_x0000_s1026" o:spt="20" style="position:absolute;left:0pt;margin-left:-8.9pt;margin-top:7.95pt;height:3.3pt;width:438.25pt;z-index:251658240;mso-width-relative:page;mso-height-relative:page;" filled="f" stroked="t" coordsize="21600,21600" o:gfxdata="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9t1v7ZAAAA&#10;CQEAAA8AAAAAAAAAAQAgAAAAIgAAAGRycy9kb3ducmV2LnhtbFBLAQIUABQAAAAIAIdO4kBoBYUZ&#10;4wEAAJsDAAAOAAAAAAAAAAEAIAAAACgBAABkcnMvZTJvRG9jLnhtbFBLBQYAAAAABgAGAFkBAAB9&#10;BQAAAAA=&#10;">
                <v:fill on="f" focussize="0,0"/>
                <v:stroke weight="1.5pt" color="#FF0000" joinstyle="round"/>
                <v:imagedata o:title=""/>
                <o:lock v:ext="edit" aspectratio="f"/>
              </v:line>
            </w:pict>
          </mc:Fallback>
        </mc:AlternateContent>
      </w:r>
      <w:r>
        <w:rPr>
          <w:rFonts w:hint="eastAsia"/>
          <w:b/>
          <w:bCs/>
          <w:color w:val="FF0000"/>
          <w:szCs w:val="21"/>
          <w:lang w:val="en-US" w:eastAsia="zh-CN"/>
        </w:rPr>
        <w:t xml:space="preserve">   </w:t>
      </w:r>
    </w:p>
    <w:p>
      <w:pPr>
        <w:pStyle w:val="2"/>
        <w:keepNext w:val="0"/>
        <w:keepLines w:val="0"/>
        <w:pageBreakBefore w:val="0"/>
        <w:kinsoku/>
        <w:wordWrap/>
        <w:overflowPunct/>
        <w:topLinePunct w:val="0"/>
        <w:autoSpaceDE/>
        <w:autoSpaceDN/>
        <w:bidi w:val="0"/>
        <w:adjustRightInd/>
        <w:snapToGrid/>
        <w:spacing w:after="0" w:afterAutospacing="0" w:line="580" w:lineRule="exact"/>
        <w:ind w:right="0" w:rightChars="0"/>
        <w:jc w:val="center"/>
        <w:textAlignment w:val="auto"/>
        <w:outlineLvl w:val="9"/>
        <w:rPr>
          <w:rFonts w:hint="eastAsia" w:asciiTheme="majorEastAsia" w:hAnsiTheme="majorEastAsia" w:eastAsiaTheme="majorEastAsia"/>
          <w:b/>
          <w:color w:val="000000"/>
          <w:sz w:val="44"/>
          <w:szCs w:val="44"/>
        </w:rPr>
      </w:pPr>
      <w:r>
        <w:rPr>
          <w:rFonts w:hint="eastAsia" w:asciiTheme="majorEastAsia" w:hAnsiTheme="majorEastAsia" w:eastAsiaTheme="majorEastAsia"/>
          <w:b/>
          <w:color w:val="000000"/>
          <w:sz w:val="44"/>
          <w:szCs w:val="44"/>
          <w:lang w:eastAsia="zh-CN"/>
        </w:rPr>
        <w:t>关于《</w:t>
      </w:r>
      <w:r>
        <w:rPr>
          <w:rFonts w:hint="eastAsia" w:asciiTheme="majorEastAsia" w:hAnsiTheme="majorEastAsia" w:eastAsiaTheme="majorEastAsia"/>
          <w:b/>
          <w:color w:val="000000"/>
          <w:sz w:val="44"/>
          <w:szCs w:val="44"/>
        </w:rPr>
        <w:t>图们市高效植保机械化推广作业补助项目实施方案</w:t>
      </w:r>
      <w:r>
        <w:rPr>
          <w:rFonts w:hint="eastAsia" w:asciiTheme="majorEastAsia" w:hAnsiTheme="majorEastAsia" w:eastAsiaTheme="majorEastAsia"/>
          <w:b/>
          <w:color w:val="000000"/>
          <w:sz w:val="44"/>
          <w:szCs w:val="44"/>
          <w:lang w:eastAsia="zh-CN"/>
        </w:rPr>
        <w:t>》的申报</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省农委、省财政厅：</w:t>
      </w:r>
    </w:p>
    <w:p>
      <w:p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根据省农委、省财政厅《关于下发2017年中央财政农业生产发展项目实施方案的通知》（吉农财发[2017]3号）文件内容，结合我市实际，将《图们市高效植保机械化推广作业补贴项目实施方案》进行申报。</w:t>
      </w:r>
    </w:p>
    <w:p>
      <w:p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妥否，请批示。</w:t>
      </w:r>
    </w:p>
    <w:p>
      <w:pPr>
        <w:ind w:firstLine="640"/>
        <w:rPr>
          <w:rFonts w:hint="eastAsia" w:ascii="仿宋_GB2312" w:hAnsi="仿宋_GB2312" w:eastAsia="仿宋_GB2312" w:cs="仿宋_GB2312"/>
          <w:sz w:val="32"/>
          <w:szCs w:val="32"/>
          <w:lang w:val="en-US" w:eastAsia="zh-CN"/>
        </w:rPr>
      </w:pPr>
    </w:p>
    <w:p>
      <w:p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附件：《图们市高效植保机械化推广作业补贴项目实施方案》</w:t>
      </w:r>
    </w:p>
    <w:p>
      <w:pPr>
        <w:ind w:firstLine="640"/>
        <w:rPr>
          <w:rFonts w:hint="eastAsia" w:ascii="仿宋_GB2312" w:hAnsi="仿宋_GB2312" w:eastAsia="仿宋_GB2312" w:cs="仿宋_GB2312"/>
          <w:sz w:val="32"/>
          <w:szCs w:val="32"/>
          <w:lang w:val="en-US" w:eastAsia="zh-CN"/>
        </w:rPr>
      </w:pPr>
    </w:p>
    <w:p>
      <w:pPr>
        <w:ind w:firstLine="640"/>
        <w:rPr>
          <w:rFonts w:hint="eastAsia" w:ascii="仿宋_GB2312" w:hAnsi="仿宋_GB2312" w:eastAsia="仿宋_GB2312" w:cs="仿宋_GB2312"/>
          <w:sz w:val="32"/>
          <w:szCs w:val="32"/>
          <w:lang w:val="en-US" w:eastAsia="zh-CN"/>
        </w:rPr>
      </w:pPr>
    </w:p>
    <w:p>
      <w:pPr>
        <w:ind w:firstLine="640"/>
        <w:rPr>
          <w:rFonts w:hint="eastAsia" w:ascii="仿宋_GB2312" w:hAnsi="仿宋_GB2312" w:eastAsia="仿宋_GB2312" w:cs="仿宋_GB2312"/>
          <w:sz w:val="32"/>
          <w:szCs w:val="32"/>
          <w:lang w:val="en-US" w:eastAsia="zh-CN"/>
        </w:rPr>
      </w:pPr>
    </w:p>
    <w:p>
      <w:pPr>
        <w:ind w:firstLine="640"/>
        <w:rPr>
          <w:rFonts w:hint="eastAsia" w:ascii="仿宋_GB2312" w:hAnsi="仿宋_GB2312" w:eastAsia="仿宋_GB2312" w:cs="仿宋_GB2312"/>
          <w:sz w:val="32"/>
          <w:szCs w:val="32"/>
          <w:lang w:val="en-US" w:eastAsia="zh-CN"/>
        </w:rPr>
      </w:pPr>
    </w:p>
    <w:p>
      <w:pPr>
        <w:ind w:firstLine="640"/>
        <w:rPr>
          <w:rFonts w:hint="eastAsia" w:ascii="仿宋_GB2312" w:hAnsi="仿宋_GB2312" w:eastAsia="仿宋_GB2312" w:cs="仿宋_GB2312"/>
          <w:sz w:val="32"/>
          <w:szCs w:val="32"/>
          <w:lang w:val="en-US" w:eastAsia="zh-CN"/>
        </w:rPr>
      </w:pPr>
    </w:p>
    <w:p>
      <w:pPr>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rPr>
        <w:t>图们市农业和畜牧业局            图们市财政局</w:t>
      </w:r>
    </w:p>
    <w:p>
      <w:pPr>
        <w:rPr>
          <w:rFonts w:hint="eastAsia" w:ascii="仿宋_GB2312" w:hAnsi="宋体" w:eastAsia="仿宋_GB2312"/>
          <w:color w:val="000000"/>
          <w:sz w:val="32"/>
          <w:szCs w:val="32"/>
        </w:rPr>
      </w:pPr>
    </w:p>
    <w:p>
      <w:pPr>
        <w:ind w:firstLine="800" w:firstLineChars="250"/>
        <w:rPr>
          <w:rFonts w:hint="eastAsia" w:ascii="仿宋_GB2312" w:hAnsi="宋体" w:eastAsia="仿宋_GB2312"/>
          <w:color w:val="000000"/>
          <w:sz w:val="32"/>
          <w:szCs w:val="32"/>
        </w:rPr>
      </w:pPr>
    </w:p>
    <w:p>
      <w:pPr>
        <w:ind w:firstLine="800" w:firstLineChars="250"/>
        <w:rPr>
          <w:rFonts w:hint="eastAsia" w:ascii="仿宋_GB2312" w:hAnsi="宋体" w:eastAsia="仿宋_GB2312"/>
          <w:color w:val="000000"/>
          <w:sz w:val="32"/>
          <w:szCs w:val="32"/>
        </w:rPr>
      </w:pPr>
    </w:p>
    <w:p>
      <w:pPr>
        <w:ind w:firstLine="800" w:firstLineChars="250"/>
        <w:rPr>
          <w:rFonts w:hint="eastAsia" w:ascii="仿宋_GB2312" w:hAnsi="宋体" w:eastAsia="仿宋_GB2312"/>
          <w:color w:val="000000"/>
          <w:sz w:val="32"/>
          <w:szCs w:val="32"/>
        </w:rPr>
      </w:pPr>
    </w:p>
    <w:p>
      <w:pPr>
        <w:ind w:firstLine="800" w:firstLineChars="250"/>
        <w:rPr>
          <w:rFonts w:hint="eastAsia" w:ascii="仿宋_GB2312" w:hAnsi="宋体" w:eastAsia="仿宋_GB2312"/>
          <w:color w:val="000000"/>
          <w:sz w:val="32"/>
          <w:szCs w:val="32"/>
        </w:rPr>
      </w:pPr>
    </w:p>
    <w:p>
      <w:pPr>
        <w:ind w:firstLine="800" w:firstLineChars="250"/>
        <w:rPr>
          <w:rFonts w:hint="eastAsia" w:ascii="仿宋_GB2312" w:hAnsi="宋体" w:eastAsia="仿宋_GB2312"/>
          <w:color w:val="000000"/>
          <w:sz w:val="32"/>
          <w:szCs w:val="32"/>
        </w:rPr>
      </w:pPr>
    </w:p>
    <w:p>
      <w:pPr>
        <w:spacing w:line="600" w:lineRule="exact"/>
        <w:ind w:firstLine="4480" w:firstLineChars="1400"/>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 xml:space="preserve">  2017年9月15日</w:t>
      </w:r>
    </w:p>
    <w:p>
      <w:pPr>
        <w:ind w:firstLine="640"/>
        <w:rPr>
          <w:rFonts w:hint="eastAsia" w:ascii="仿宋_GB2312" w:hAnsi="仿宋_GB2312" w:eastAsia="仿宋_GB2312" w:cs="仿宋_GB2312"/>
          <w:sz w:val="32"/>
          <w:szCs w:val="32"/>
          <w:lang w:val="en-US" w:eastAsia="zh-CN"/>
        </w:rPr>
      </w:pPr>
    </w:p>
    <w:p>
      <w:pPr>
        <w:ind w:firstLine="640"/>
        <w:rPr>
          <w:rFonts w:hint="eastAsia" w:ascii="仿宋_GB2312" w:hAnsi="仿宋_GB2312" w:eastAsia="仿宋_GB2312" w:cs="仿宋_GB2312"/>
          <w:sz w:val="32"/>
          <w:szCs w:val="32"/>
          <w:lang w:val="en-US" w:eastAsia="zh-CN"/>
        </w:rPr>
      </w:pPr>
    </w:p>
    <w:p>
      <w:pPr>
        <w:ind w:firstLine="640"/>
        <w:rPr>
          <w:rFonts w:hint="eastAsia" w:ascii="仿宋_GB2312" w:hAnsi="仿宋_GB2312" w:eastAsia="仿宋_GB2312" w:cs="仿宋_GB2312"/>
          <w:sz w:val="32"/>
          <w:szCs w:val="32"/>
          <w:lang w:val="en-US" w:eastAsia="zh-CN"/>
        </w:rPr>
      </w:pPr>
    </w:p>
    <w:p>
      <w:pPr>
        <w:ind w:firstLine="640"/>
        <w:rPr>
          <w:rFonts w:hint="eastAsia" w:ascii="仿宋_GB2312" w:hAnsi="仿宋_GB2312" w:eastAsia="仿宋_GB2312" w:cs="仿宋_GB2312"/>
          <w:sz w:val="32"/>
          <w:szCs w:val="32"/>
          <w:lang w:val="en-US" w:eastAsia="zh-CN"/>
        </w:rPr>
      </w:pPr>
    </w:p>
    <w:p>
      <w:pPr>
        <w:ind w:firstLine="640"/>
        <w:rPr>
          <w:rFonts w:hint="eastAsia" w:ascii="仿宋_GB2312" w:hAnsi="仿宋_GB2312" w:eastAsia="仿宋_GB2312" w:cs="仿宋_GB2312"/>
          <w:sz w:val="32"/>
          <w:szCs w:val="32"/>
          <w:lang w:val="en-US" w:eastAsia="zh-CN"/>
        </w:rPr>
      </w:pPr>
    </w:p>
    <w:p>
      <w:pPr>
        <w:ind w:firstLine="640"/>
        <w:rPr>
          <w:rFonts w:hint="eastAsia" w:ascii="仿宋_GB2312" w:hAnsi="仿宋_GB2312" w:eastAsia="仿宋_GB2312" w:cs="仿宋_GB2312"/>
          <w:sz w:val="32"/>
          <w:szCs w:val="32"/>
          <w:lang w:val="en-US" w:eastAsia="zh-CN"/>
        </w:rPr>
      </w:pPr>
    </w:p>
    <w:p>
      <w:pPr>
        <w:ind w:firstLine="640"/>
        <w:rPr>
          <w:rFonts w:hint="eastAsia" w:ascii="仿宋_GB2312" w:hAnsi="仿宋_GB2312" w:eastAsia="仿宋_GB2312" w:cs="仿宋_GB2312"/>
          <w:sz w:val="32"/>
          <w:szCs w:val="32"/>
          <w:lang w:val="en-US" w:eastAsia="zh-CN"/>
        </w:rPr>
      </w:pPr>
    </w:p>
    <w:p>
      <w:pPr>
        <w:ind w:firstLine="640"/>
        <w:rPr>
          <w:rFonts w:hint="eastAsia" w:ascii="仿宋_GB2312" w:hAnsi="仿宋_GB2312" w:eastAsia="仿宋_GB2312" w:cs="仿宋_GB2312"/>
          <w:sz w:val="32"/>
          <w:szCs w:val="32"/>
          <w:lang w:val="en-US" w:eastAsia="zh-CN"/>
        </w:rPr>
      </w:pPr>
    </w:p>
    <w:p>
      <w:pPr>
        <w:ind w:firstLine="640"/>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p>
    <w:p>
      <w:pPr>
        <w:rPr>
          <w:rFonts w:hint="eastAsia" w:ascii="仿宋_GB2312" w:hAnsi="仿宋_GB2312" w:eastAsia="仿宋_GB2312" w:cs="仿宋_GB2312"/>
          <w:sz w:val="32"/>
          <w:szCs w:val="32"/>
          <w:lang w:val="en-US" w:eastAsia="zh-CN"/>
        </w:rPr>
      </w:pPr>
    </w:p>
    <w:p>
      <w:pPr>
        <w:jc w:val="center"/>
        <w:rPr>
          <w:rFonts w:hint="eastAsia" w:ascii="黑体" w:hAnsi="黑体" w:eastAsia="黑体" w:cs="黑体"/>
          <w:sz w:val="44"/>
          <w:szCs w:val="44"/>
          <w:lang w:eastAsia="zh-CN"/>
        </w:rPr>
      </w:pPr>
      <w:r>
        <w:rPr>
          <w:rFonts w:hint="eastAsia" w:ascii="黑体" w:hAnsi="黑体" w:eastAsia="黑体" w:cs="黑体"/>
          <w:sz w:val="44"/>
          <w:szCs w:val="44"/>
          <w:lang w:eastAsia="zh-CN"/>
        </w:rPr>
        <w:t>图们市高效植保机械化推广作业补助项目实施方案</w:t>
      </w:r>
    </w:p>
    <w:p>
      <w:pPr>
        <w:rPr>
          <w:rFonts w:hint="eastAsia"/>
          <w:lang w:eastAsia="zh-CN"/>
        </w:rPr>
      </w:pPr>
    </w:p>
    <w:p>
      <w:pPr>
        <w:rPr>
          <w:rFonts w:hint="eastAsia"/>
          <w:lang w:eastAsia="zh-CN"/>
        </w:rPr>
      </w:pPr>
    </w:p>
    <w:p>
      <w:pPr>
        <w:numPr>
          <w:ilvl w:val="0"/>
          <w:numId w:val="0"/>
        </w:numPr>
        <w:ind w:firstLine="643" w:firstLineChars="200"/>
        <w:rPr>
          <w:rFonts w:hint="eastAsia" w:ascii="宋体" w:hAnsi="宋体" w:eastAsia="宋体" w:cs="宋体"/>
          <w:b/>
          <w:bCs/>
          <w:sz w:val="32"/>
          <w:szCs w:val="32"/>
          <w:lang w:eastAsia="zh-CN"/>
        </w:rPr>
      </w:pPr>
      <w:r>
        <w:rPr>
          <w:rFonts w:hint="eastAsia" w:ascii="宋体" w:hAnsi="宋体" w:eastAsia="宋体" w:cs="宋体"/>
          <w:b/>
          <w:bCs/>
          <w:sz w:val="32"/>
          <w:szCs w:val="32"/>
          <w:lang w:eastAsia="zh-CN"/>
        </w:rPr>
        <w:t>一、项目任务</w:t>
      </w:r>
    </w:p>
    <w:p>
      <w:pPr>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吉林省农机深松整地（高效植保机械化推广作业补助）项目实施方案》的要求，高效植保机械化实用技术推广作业补助项目在全市范围内，对玉米、水稻、大豆、马铃薯等主要农作物使用高效植保机械进行病虫草害的防治给予作业补助，计划作业补助面积1万亩。</w:t>
      </w:r>
    </w:p>
    <w:p>
      <w:pPr>
        <w:numPr>
          <w:ilvl w:val="0"/>
          <w:numId w:val="1"/>
        </w:numPr>
        <w:ind w:firstLine="64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实施条件</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高效植保机械化实用技术是指在农作物植保环节，即农作物病虫草害防治过程中，为提高工作效率、降低防控风险使用高效植保机械进行作业。补助项目的作业机具须为机动喷杆式喷雾机</w:t>
      </w:r>
      <w:r>
        <w:rPr>
          <w:rFonts w:hint="eastAsia" w:ascii="仿宋_GB2312" w:hAnsi="仿宋_GB2312" w:eastAsia="仿宋_GB2312" w:cs="仿宋_GB2312"/>
          <w:sz w:val="32"/>
          <w:szCs w:val="32"/>
        </w:rPr>
        <w:t>（含自走式、背负式、牵引式），且须为通过省级以上农业机械推广鉴定的合格产品。凡参加补助项目的作业机具均需加装带有作业监测功能的远程电子监测设备。</w:t>
      </w:r>
    </w:p>
    <w:p>
      <w:pPr>
        <w:numPr>
          <w:ilvl w:val="0"/>
          <w:numId w:val="1"/>
        </w:numPr>
        <w:ind w:left="0" w:leftChars="0" w:firstLine="640" w:firstLineChars="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补助内容</w:t>
      </w:r>
    </w:p>
    <w:p>
      <w:pPr>
        <w:numPr>
          <w:ilvl w:val="0"/>
          <w:numId w:val="2"/>
        </w:numPr>
        <w:ind w:firstLine="643" w:firstLineChars="200"/>
        <w:rPr>
          <w:rFonts w:hint="eastAsia" w:ascii="仿宋_GB2312" w:hAnsi="仿宋_GB2312" w:eastAsia="仿宋_GB2312" w:cs="仿宋_GB2312"/>
          <w:color w:val="0D0D0D"/>
          <w:sz w:val="32"/>
          <w:szCs w:val="32"/>
        </w:rPr>
      </w:pPr>
      <w:r>
        <w:rPr>
          <w:rFonts w:hint="eastAsia" w:ascii="仿宋_GB2312" w:hAnsi="仿宋_GB2312" w:eastAsia="仿宋_GB2312" w:cs="仿宋_GB2312"/>
          <w:b/>
          <w:bCs/>
          <w:color w:val="0D0D0D"/>
          <w:sz w:val="32"/>
          <w:szCs w:val="32"/>
        </w:rPr>
        <w:t>补助对象</w:t>
      </w:r>
      <w:r>
        <w:rPr>
          <w:rFonts w:hint="eastAsia" w:ascii="仿宋_GB2312" w:hAnsi="仿宋_GB2312" w:eastAsia="仿宋_GB2312" w:cs="仿宋_GB2312"/>
          <w:color w:val="0D0D0D"/>
          <w:sz w:val="32"/>
          <w:szCs w:val="32"/>
          <w:lang w:eastAsia="zh-CN"/>
        </w:rPr>
        <w:t>。补助对象</w:t>
      </w:r>
      <w:r>
        <w:rPr>
          <w:rFonts w:hint="eastAsia" w:ascii="仿宋_GB2312" w:hAnsi="仿宋_GB2312" w:eastAsia="仿宋_GB2312" w:cs="仿宋_GB2312"/>
          <w:color w:val="0D0D0D"/>
          <w:sz w:val="32"/>
          <w:szCs w:val="32"/>
        </w:rPr>
        <w:t>为实施</w:t>
      </w:r>
      <w:r>
        <w:rPr>
          <w:rFonts w:hint="eastAsia" w:ascii="仿宋_GB2312" w:hAnsi="仿宋_GB2312" w:eastAsia="仿宋_GB2312" w:cs="仿宋_GB2312"/>
          <w:color w:val="0D0D0D"/>
          <w:sz w:val="32"/>
          <w:szCs w:val="32"/>
          <w:lang w:eastAsia="zh-CN"/>
        </w:rPr>
        <w:t>高</w:t>
      </w:r>
      <w:r>
        <w:rPr>
          <w:rFonts w:hint="eastAsia" w:ascii="仿宋_GB2312" w:hAnsi="仿宋_GB2312" w:eastAsia="仿宋_GB2312" w:cs="仿宋_GB2312"/>
          <w:color w:val="0D0D0D"/>
          <w:sz w:val="32"/>
          <w:szCs w:val="32"/>
        </w:rPr>
        <w:t>效机械植保作业的农机服务提供者，包括农机（农业）合作社、家庭农场、农机大户、种粮大户等直接从事农机作业的农机（业）生产经营组织及农业企业。</w:t>
      </w:r>
    </w:p>
    <w:p>
      <w:pPr>
        <w:pStyle w:val="6"/>
        <w:spacing w:line="360" w:lineRule="auto"/>
        <w:ind w:left="0" w:leftChars="0"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color w:val="0D0D0D"/>
          <w:sz w:val="32"/>
          <w:szCs w:val="32"/>
          <w:lang w:val="en-US" w:eastAsia="zh-CN"/>
        </w:rPr>
        <w:t>（二）补助标准。</w:t>
      </w:r>
      <w:r>
        <w:rPr>
          <w:rFonts w:hint="eastAsia" w:ascii="仿宋_GB2312" w:hAnsi="仿宋_GB2312" w:eastAsia="仿宋_GB2312" w:cs="仿宋_GB2312"/>
          <w:color w:val="0D0D0D"/>
          <w:sz w:val="32"/>
          <w:szCs w:val="32"/>
          <w:lang w:val="en-US" w:eastAsia="zh-CN"/>
        </w:rPr>
        <w:t>全市</w:t>
      </w:r>
      <w:r>
        <w:rPr>
          <w:rFonts w:hint="eastAsia" w:ascii="仿宋_GB2312" w:hAnsi="仿宋_GB2312" w:eastAsia="仿宋_GB2312" w:cs="仿宋_GB2312"/>
          <w:sz w:val="32"/>
          <w:szCs w:val="32"/>
        </w:rPr>
        <w:t>高效植保机械化实用技术推广作业补助实行</w:t>
      </w:r>
      <w:r>
        <w:rPr>
          <w:rFonts w:hint="eastAsia" w:ascii="仿宋_GB2312" w:hAnsi="仿宋_GB2312" w:eastAsia="仿宋_GB2312" w:cs="仿宋_GB2312"/>
          <w:sz w:val="32"/>
          <w:szCs w:val="32"/>
          <w:lang w:eastAsia="zh-CN"/>
        </w:rPr>
        <w:t>定</w:t>
      </w:r>
      <w:r>
        <w:rPr>
          <w:rFonts w:hint="eastAsia" w:ascii="仿宋_GB2312" w:hAnsi="仿宋_GB2312" w:eastAsia="仿宋_GB2312" w:cs="仿宋_GB2312"/>
          <w:sz w:val="32"/>
          <w:szCs w:val="32"/>
        </w:rPr>
        <w:t>额</w:t>
      </w:r>
      <w:r>
        <w:rPr>
          <w:rFonts w:hint="eastAsia" w:ascii="仿宋_GB2312" w:hAnsi="仿宋_GB2312" w:eastAsia="仿宋_GB2312" w:cs="仿宋_GB2312"/>
          <w:sz w:val="32"/>
          <w:szCs w:val="32"/>
          <w:lang w:eastAsia="zh-CN"/>
        </w:rPr>
        <w:t>补助</w:t>
      </w:r>
      <w:r>
        <w:rPr>
          <w:rFonts w:hint="eastAsia" w:ascii="仿宋_GB2312" w:hAnsi="仿宋_GB2312" w:eastAsia="仿宋_GB2312" w:cs="仿宋_GB2312"/>
          <w:sz w:val="32"/>
          <w:szCs w:val="32"/>
        </w:rPr>
        <w:t>标准，补助金额为10元/亩。</w:t>
      </w:r>
      <w:r>
        <w:rPr>
          <w:rFonts w:hint="eastAsia" w:ascii="仿宋_GB2312" w:hAnsi="仿宋_GB2312" w:eastAsia="仿宋_GB2312" w:cs="仿宋_GB2312"/>
          <w:sz w:val="32"/>
          <w:szCs w:val="32"/>
          <w:lang w:eastAsia="zh-CN"/>
        </w:rPr>
        <w:t>（省里远程电子监测技术终端设备补助为</w:t>
      </w:r>
      <w:r>
        <w:rPr>
          <w:rFonts w:hint="eastAsia" w:ascii="仿宋_GB2312" w:hAnsi="仿宋_GB2312" w:eastAsia="仿宋_GB2312" w:cs="仿宋_GB2312"/>
          <w:sz w:val="32"/>
          <w:szCs w:val="32"/>
          <w:lang w:val="en-US" w:eastAsia="zh-CN"/>
        </w:rPr>
        <w:t>2台，每台补助金额2500元）。</w:t>
      </w:r>
      <w:r>
        <w:rPr>
          <w:rFonts w:hint="eastAsia" w:ascii="仿宋_GB2312" w:hAnsi="仿宋_GB2312" w:eastAsia="仿宋_GB2312" w:cs="仿宋_GB2312"/>
          <w:sz w:val="32"/>
          <w:szCs w:val="32"/>
          <w:lang w:eastAsia="zh-CN"/>
        </w:rPr>
        <w:t>本当年未用完的补助资金可滚动至下年度继续使用，下年仍未用完的，市财政局负责按结余结转资金有关规定办理。</w:t>
      </w:r>
    </w:p>
    <w:p>
      <w:pPr>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（三）补助方式。</w:t>
      </w:r>
      <w:r>
        <w:rPr>
          <w:rFonts w:hint="eastAsia" w:ascii="仿宋_GB2312" w:hAnsi="仿宋_GB2312" w:eastAsia="仿宋_GB2312" w:cs="仿宋_GB2312"/>
          <w:sz w:val="32"/>
          <w:szCs w:val="32"/>
        </w:rPr>
        <w:t>项目补助作业面积的确定以远程电子监测设备的监测数据为准，同一地块内多次作业，补助作业面积不重复计算。补助项目坚持“先作业后补助、先公示后兑现”的实施原则，补助作业面积公示无异议后，补助资金</w:t>
      </w:r>
      <w:r>
        <w:rPr>
          <w:rFonts w:hint="eastAsia" w:ascii="仿宋_GB2312" w:hAnsi="仿宋_GB2312" w:eastAsia="仿宋_GB2312" w:cs="仿宋_GB2312"/>
          <w:sz w:val="32"/>
          <w:szCs w:val="32"/>
          <w:lang w:eastAsia="zh-CN"/>
        </w:rPr>
        <w:t>兑付</w:t>
      </w:r>
      <w:r>
        <w:rPr>
          <w:rFonts w:hint="eastAsia" w:ascii="仿宋_GB2312" w:hAnsi="仿宋_GB2312" w:eastAsia="仿宋_GB2312" w:cs="仿宋_GB2312"/>
          <w:sz w:val="32"/>
          <w:szCs w:val="32"/>
        </w:rPr>
        <w:t>补助对象</w:t>
      </w:r>
      <w:r>
        <w:rPr>
          <w:rFonts w:hint="eastAsia" w:ascii="仿宋_GB2312" w:hAnsi="仿宋_GB2312" w:eastAsia="仿宋_GB2312" w:cs="仿宋_GB2312"/>
          <w:sz w:val="32"/>
          <w:szCs w:val="32"/>
          <w:lang w:eastAsia="zh-CN"/>
        </w:rPr>
        <w:t>，终端设备补助以实际作业面积来做出排序，依据作业面积的多少选取两家进行补助</w:t>
      </w:r>
      <w:r>
        <w:rPr>
          <w:rFonts w:hint="eastAsia" w:ascii="仿宋_GB2312" w:hAnsi="仿宋_GB2312" w:eastAsia="仿宋_GB2312" w:cs="仿宋_GB2312"/>
          <w:sz w:val="32"/>
          <w:szCs w:val="32"/>
        </w:rPr>
        <w:t>。</w:t>
      </w:r>
    </w:p>
    <w:p>
      <w:pPr>
        <w:spacing w:line="360" w:lineRule="auto"/>
        <w:ind w:firstLine="643" w:firstLineChars="200"/>
        <w:rPr>
          <w:rFonts w:hint="eastAsia" w:ascii="宋体" w:hAnsi="宋体" w:eastAsia="宋体" w:cs="宋体"/>
          <w:b/>
          <w:bCs/>
          <w:sz w:val="32"/>
          <w:szCs w:val="32"/>
          <w:lang w:eastAsia="zh-CN"/>
        </w:rPr>
      </w:pPr>
      <w:r>
        <w:rPr>
          <w:rFonts w:hint="eastAsia" w:ascii="宋体" w:hAnsi="宋体" w:eastAsia="宋体" w:cs="宋体"/>
          <w:b/>
          <w:bCs/>
          <w:sz w:val="32"/>
          <w:szCs w:val="32"/>
          <w:lang w:eastAsia="zh-CN"/>
        </w:rPr>
        <w:t>四、实施单位</w:t>
      </w:r>
    </w:p>
    <w:p>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1、图们市便民粮食种植专业农场；</w:t>
      </w:r>
    </w:p>
    <w:p>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2、图们市白龙种植专业农场；</w:t>
      </w:r>
    </w:p>
    <w:p>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3、图们市洪玉粮食种植专业农场；</w:t>
      </w:r>
    </w:p>
    <w:p>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4、图们市凡强种植业专业农场；</w:t>
      </w:r>
    </w:p>
    <w:p>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5、图们市月晴镇昌东粮食种植专业农场；</w:t>
      </w:r>
    </w:p>
    <w:p>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6、图们市凉水镇松田专业农场；</w:t>
      </w:r>
    </w:p>
    <w:p>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7、图们市佳乐种植专业农场；</w:t>
      </w:r>
    </w:p>
    <w:p>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8、图们市月晴镇许照闯种植专业农场；</w:t>
      </w:r>
    </w:p>
    <w:p>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9、图们市聚心种植专业合作社；</w:t>
      </w:r>
    </w:p>
    <w:p>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10、图们市凉水镇北大村吉旺专业农场。</w:t>
      </w:r>
    </w:p>
    <w:p>
      <w:pPr>
        <w:spacing w:line="360" w:lineRule="auto"/>
        <w:ind w:firstLine="643" w:firstLineChars="20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五、监管措施</w:t>
      </w:r>
    </w:p>
    <w:p>
      <w:pPr>
        <w:spacing w:line="360" w:lineRule="auto"/>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（一）利用科技手段加强监管。</w:t>
      </w:r>
      <w:r>
        <w:rPr>
          <w:rFonts w:hint="eastAsia" w:ascii="仿宋_GB2312" w:hAnsi="仿宋_GB2312" w:eastAsia="仿宋_GB2312" w:cs="仿宋_GB2312"/>
          <w:sz w:val="32"/>
          <w:szCs w:val="32"/>
          <w:lang w:val="en-US" w:eastAsia="zh-CN"/>
        </w:rPr>
        <w:t>全市高效植保机械化实用技术推广作业补助项目的实施工作，全面使用远程电子监测技术，以电子监测数据为补助资金发放的依据，通过科学技术手段提高工作效率、降低监管风险。</w:t>
      </w:r>
    </w:p>
    <w:p>
      <w:pPr>
        <w:spacing w:line="360" w:lineRule="auto"/>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（二）全面实行绩效考核管理</w:t>
      </w:r>
      <w:r>
        <w:rPr>
          <w:rFonts w:hint="eastAsia" w:ascii="仿宋_GB2312" w:hAnsi="仿宋_GB2312" w:eastAsia="仿宋_GB2312" w:cs="仿宋_GB2312"/>
          <w:sz w:val="32"/>
          <w:szCs w:val="32"/>
          <w:lang w:val="en-US" w:eastAsia="zh-CN"/>
        </w:rPr>
        <w:t>。全市高效植保机械化实用技术推广作业补助项目的实施工作，按照中央和省财政有关规定，实行绩效考核管理。</w:t>
      </w:r>
    </w:p>
    <w:p>
      <w:pPr>
        <w:numPr>
          <w:ilvl w:val="0"/>
          <w:numId w:val="0"/>
        </w:numPr>
        <w:rPr>
          <w:rFonts w:hint="eastAsia" w:ascii="仿宋_GB2312" w:hAnsi="仿宋_GB2312" w:eastAsia="仿宋_GB2312" w:cs="仿宋_GB2312"/>
          <w:color w:val="0D0D0D"/>
          <w:sz w:val="32"/>
          <w:szCs w:val="32"/>
          <w:lang w:val="en-US" w:eastAsia="zh-CN"/>
        </w:rPr>
      </w:pPr>
    </w:p>
    <w:p>
      <w:pPr>
        <w:numPr>
          <w:ilvl w:val="0"/>
          <w:numId w:val="0"/>
        </w:numPr>
        <w:rPr>
          <w:rFonts w:hint="eastAsia" w:ascii="仿宋_GB2312" w:hAnsi="仿宋_GB2312" w:eastAsia="仿宋_GB2312" w:cs="仿宋_GB2312"/>
          <w:color w:val="0D0D0D"/>
          <w:sz w:val="32"/>
          <w:szCs w:val="32"/>
          <w:lang w:val="en-US" w:eastAsia="zh-CN"/>
        </w:rPr>
      </w:pPr>
    </w:p>
    <w:p>
      <w:pPr>
        <w:numPr>
          <w:ilvl w:val="0"/>
          <w:numId w:val="0"/>
        </w:numPr>
        <w:rPr>
          <w:rFonts w:hint="eastAsia" w:ascii="仿宋_GB2312" w:hAnsi="仿宋_GB2312" w:eastAsia="仿宋_GB2312" w:cs="仿宋_GB2312"/>
          <w:color w:val="0D0D0D"/>
          <w:sz w:val="32"/>
          <w:szCs w:val="32"/>
          <w:lang w:val="en-US" w:eastAsia="zh-CN"/>
        </w:rPr>
      </w:pPr>
    </w:p>
    <w:p>
      <w:pPr>
        <w:numPr>
          <w:ilvl w:val="0"/>
          <w:numId w:val="0"/>
        </w:numPr>
        <w:rPr>
          <w:rFonts w:hint="eastAsia" w:ascii="仿宋_GB2312" w:hAnsi="仿宋_GB2312" w:eastAsia="仿宋_GB2312" w:cs="仿宋_GB2312"/>
          <w:color w:val="0D0D0D"/>
          <w:sz w:val="32"/>
          <w:szCs w:val="32"/>
          <w:lang w:val="en-US" w:eastAsia="zh-CN"/>
        </w:rPr>
      </w:pPr>
    </w:p>
    <w:p>
      <w:pPr>
        <w:numPr>
          <w:ilvl w:val="0"/>
          <w:numId w:val="0"/>
        </w:numPr>
        <w:rPr>
          <w:rFonts w:hint="eastAsia" w:ascii="仿宋_GB2312" w:hAnsi="仿宋_GB2312" w:eastAsia="仿宋_GB2312" w:cs="仿宋_GB2312"/>
          <w:color w:val="0D0D0D"/>
          <w:sz w:val="32"/>
          <w:szCs w:val="32"/>
          <w:lang w:val="en-US" w:eastAsia="zh-CN"/>
        </w:rPr>
      </w:pPr>
    </w:p>
    <w:p>
      <w:pPr>
        <w:numPr>
          <w:ilvl w:val="0"/>
          <w:numId w:val="0"/>
        </w:numPr>
        <w:rPr>
          <w:rFonts w:hint="eastAsia" w:ascii="仿宋_GB2312" w:hAnsi="仿宋_GB2312" w:eastAsia="仿宋_GB2312" w:cs="仿宋_GB2312"/>
          <w:color w:val="0D0D0D"/>
          <w:sz w:val="32"/>
          <w:szCs w:val="32"/>
          <w:lang w:val="en-US" w:eastAsia="zh-CN"/>
        </w:rPr>
      </w:pPr>
    </w:p>
    <w:p>
      <w:pPr>
        <w:numPr>
          <w:ilvl w:val="0"/>
          <w:numId w:val="0"/>
        </w:numPr>
        <w:rPr>
          <w:rFonts w:hint="eastAsia" w:ascii="仿宋_GB2312" w:hAnsi="仿宋_GB2312" w:eastAsia="仿宋_GB2312" w:cs="仿宋_GB2312"/>
          <w:color w:val="0D0D0D"/>
          <w:sz w:val="32"/>
          <w:szCs w:val="32"/>
          <w:lang w:val="en-US" w:eastAsia="zh-CN"/>
        </w:rPr>
      </w:pPr>
    </w:p>
    <w:p>
      <w:pPr>
        <w:numPr>
          <w:ilvl w:val="0"/>
          <w:numId w:val="0"/>
        </w:numPr>
        <w:rPr>
          <w:rFonts w:hint="eastAsia" w:ascii="仿宋_GB2312" w:hAnsi="仿宋_GB2312" w:eastAsia="仿宋_GB2312" w:cs="仿宋_GB2312"/>
          <w:color w:val="0D0D0D"/>
          <w:sz w:val="32"/>
          <w:szCs w:val="32"/>
          <w:lang w:val="en-US" w:eastAsia="zh-CN"/>
        </w:rPr>
      </w:pPr>
    </w:p>
    <w:p>
      <w:pPr>
        <w:numPr>
          <w:ilvl w:val="0"/>
          <w:numId w:val="0"/>
        </w:numPr>
        <w:rPr>
          <w:rFonts w:hint="eastAsia" w:ascii="仿宋_GB2312" w:hAnsi="仿宋_GB2312" w:eastAsia="仿宋_GB2312" w:cs="仿宋_GB2312"/>
          <w:color w:val="0D0D0D"/>
          <w:sz w:val="32"/>
          <w:szCs w:val="32"/>
          <w:lang w:val="en-US" w:eastAsia="zh-CN"/>
        </w:rPr>
      </w:pPr>
    </w:p>
    <w:p>
      <w:pPr>
        <w:numPr>
          <w:ilvl w:val="0"/>
          <w:numId w:val="0"/>
        </w:numPr>
        <w:rPr>
          <w:rFonts w:hint="eastAsia" w:ascii="仿宋_GB2312" w:hAnsi="仿宋_GB2312" w:eastAsia="仿宋_GB2312" w:cs="仿宋_GB2312"/>
          <w:color w:val="0D0D0D"/>
          <w:sz w:val="32"/>
          <w:szCs w:val="32"/>
          <w:lang w:val="en-US" w:eastAsia="zh-CN"/>
        </w:rPr>
      </w:pPr>
    </w:p>
    <w:p>
      <w:pPr>
        <w:numPr>
          <w:ilvl w:val="0"/>
          <w:numId w:val="0"/>
        </w:numPr>
        <w:rPr>
          <w:rFonts w:hint="eastAsia" w:ascii="仿宋_GB2312" w:hAnsi="仿宋_GB2312" w:eastAsia="仿宋_GB2312" w:cs="仿宋_GB2312"/>
          <w:color w:val="0D0D0D"/>
          <w:sz w:val="32"/>
          <w:szCs w:val="32"/>
          <w:lang w:val="en-US" w:eastAsia="zh-CN"/>
        </w:rPr>
      </w:pPr>
    </w:p>
    <w:p>
      <w:pPr>
        <w:numPr>
          <w:ilvl w:val="0"/>
          <w:numId w:val="0"/>
        </w:numPr>
        <w:rPr>
          <w:rFonts w:hint="eastAsia" w:ascii="仿宋_GB2312" w:hAnsi="仿宋_GB2312" w:eastAsia="仿宋_GB2312" w:cs="仿宋_GB2312"/>
          <w:color w:val="0D0D0D"/>
          <w:sz w:val="32"/>
          <w:szCs w:val="32"/>
          <w:lang w:val="en-US" w:eastAsia="zh-CN"/>
        </w:rPr>
      </w:pPr>
    </w:p>
    <w:p>
      <w:pPr>
        <w:numPr>
          <w:ilvl w:val="0"/>
          <w:numId w:val="0"/>
        </w:numPr>
        <w:rPr>
          <w:rFonts w:hint="eastAsia" w:ascii="仿宋_GB2312" w:hAnsi="仿宋_GB2312" w:eastAsia="仿宋_GB2312" w:cs="仿宋_GB2312"/>
          <w:color w:val="0D0D0D"/>
          <w:sz w:val="32"/>
          <w:szCs w:val="32"/>
          <w:lang w:val="en-US" w:eastAsia="zh-CN"/>
        </w:rPr>
      </w:pPr>
      <w:bookmarkStart w:id="0" w:name="_GoBack"/>
      <w:bookmarkEnd w:id="0"/>
    </w:p>
    <w:p>
      <w:pPr>
        <w:numPr>
          <w:ilvl w:val="0"/>
          <w:numId w:val="0"/>
        </w:numPr>
        <w:jc w:val="center"/>
        <w:rPr>
          <w:rFonts w:hint="eastAsia" w:ascii="黑体" w:hAnsi="黑体" w:eastAsia="黑体" w:cs="黑体"/>
          <w:color w:val="0D0D0D"/>
          <w:sz w:val="44"/>
          <w:szCs w:val="44"/>
          <w:lang w:val="en-US" w:eastAsia="zh-CN"/>
        </w:rPr>
      </w:pPr>
      <w:r>
        <w:rPr>
          <w:rFonts w:hint="eastAsia" w:ascii="黑体" w:hAnsi="黑体" w:eastAsia="黑体" w:cs="黑体"/>
          <w:color w:val="0D0D0D"/>
          <w:sz w:val="44"/>
          <w:szCs w:val="44"/>
          <w:lang w:val="en-US" w:eastAsia="zh-CN"/>
        </w:rPr>
        <w:t>图们市高效植保机械化推广作业补助项目工作领导小组</w:t>
      </w:r>
    </w:p>
    <w:p>
      <w:pPr>
        <w:numPr>
          <w:ilvl w:val="0"/>
          <w:numId w:val="0"/>
        </w:numPr>
        <w:rPr>
          <w:rFonts w:hint="eastAsia" w:ascii="仿宋_GB2312" w:hAnsi="仿宋_GB2312" w:eastAsia="仿宋_GB2312" w:cs="仿宋_GB2312"/>
          <w:color w:val="0D0D0D"/>
          <w:sz w:val="32"/>
          <w:szCs w:val="32"/>
          <w:lang w:val="en-US" w:eastAsia="zh-CN"/>
        </w:rPr>
      </w:pPr>
    </w:p>
    <w:p>
      <w:pPr>
        <w:numPr>
          <w:ilvl w:val="0"/>
          <w:numId w:val="0"/>
        </w:numPr>
        <w:ind w:firstLine="640" w:firstLineChars="200"/>
        <w:rPr>
          <w:rFonts w:hint="eastAsia" w:ascii="仿宋_GB2312" w:hAnsi="仿宋_GB2312" w:eastAsia="仿宋_GB2312" w:cs="仿宋_GB2312"/>
          <w:color w:val="0D0D0D"/>
          <w:sz w:val="32"/>
          <w:szCs w:val="32"/>
          <w:lang w:val="en-US" w:eastAsia="zh-CN"/>
        </w:rPr>
      </w:pPr>
      <w:r>
        <w:rPr>
          <w:rFonts w:hint="eastAsia" w:ascii="仿宋_GB2312" w:hAnsi="仿宋_GB2312" w:eastAsia="仿宋_GB2312" w:cs="仿宋_GB2312"/>
          <w:color w:val="0D0D0D"/>
          <w:sz w:val="32"/>
          <w:szCs w:val="32"/>
          <w:lang w:val="en-US" w:eastAsia="zh-CN"/>
        </w:rPr>
        <w:t>组  长：孙东升  图们市人民政府副市长</w:t>
      </w:r>
    </w:p>
    <w:p>
      <w:pPr>
        <w:numPr>
          <w:ilvl w:val="0"/>
          <w:numId w:val="0"/>
        </w:numPr>
        <w:ind w:firstLine="640" w:firstLineChars="200"/>
        <w:rPr>
          <w:rFonts w:hint="eastAsia" w:ascii="仿宋_GB2312" w:hAnsi="仿宋_GB2312" w:eastAsia="仿宋_GB2312" w:cs="仿宋_GB2312"/>
          <w:color w:val="0D0D0D"/>
          <w:sz w:val="32"/>
          <w:szCs w:val="32"/>
          <w:lang w:val="en-US" w:eastAsia="zh-CN"/>
        </w:rPr>
      </w:pPr>
      <w:r>
        <w:rPr>
          <w:rFonts w:hint="eastAsia" w:ascii="仿宋_GB2312" w:hAnsi="仿宋_GB2312" w:eastAsia="仿宋_GB2312" w:cs="仿宋_GB2312"/>
          <w:color w:val="0D0D0D"/>
          <w:sz w:val="32"/>
          <w:szCs w:val="32"/>
          <w:lang w:val="en-US" w:eastAsia="zh-CN"/>
        </w:rPr>
        <w:t>副组长：李  镐  图们市财政局局长</w:t>
      </w:r>
    </w:p>
    <w:p>
      <w:pPr>
        <w:numPr>
          <w:ilvl w:val="0"/>
          <w:numId w:val="0"/>
        </w:numPr>
        <w:rPr>
          <w:rFonts w:hint="eastAsia" w:ascii="仿宋_GB2312" w:hAnsi="仿宋_GB2312" w:eastAsia="仿宋_GB2312" w:cs="仿宋_GB2312"/>
          <w:color w:val="0D0D0D"/>
          <w:sz w:val="32"/>
          <w:szCs w:val="32"/>
          <w:lang w:val="en-US" w:eastAsia="zh-CN"/>
        </w:rPr>
      </w:pPr>
      <w:r>
        <w:rPr>
          <w:rFonts w:hint="eastAsia" w:ascii="仿宋_GB2312" w:hAnsi="仿宋_GB2312" w:eastAsia="仿宋_GB2312" w:cs="仿宋_GB2312"/>
          <w:color w:val="0D0D0D"/>
          <w:sz w:val="32"/>
          <w:szCs w:val="32"/>
          <w:lang w:val="en-US" w:eastAsia="zh-CN"/>
        </w:rPr>
        <w:t xml:space="preserve">            南明煊  图们市农业和畜牧业局局长 </w:t>
      </w:r>
    </w:p>
    <w:p>
      <w:pPr>
        <w:numPr>
          <w:ilvl w:val="0"/>
          <w:numId w:val="0"/>
        </w:numPr>
        <w:ind w:firstLine="640" w:firstLineChars="200"/>
        <w:rPr>
          <w:rFonts w:hint="eastAsia" w:ascii="仿宋_GB2312" w:hAnsi="仿宋_GB2312" w:eastAsia="仿宋_GB2312" w:cs="仿宋_GB2312"/>
          <w:color w:val="0D0D0D"/>
          <w:sz w:val="32"/>
          <w:szCs w:val="32"/>
          <w:lang w:val="en-US" w:eastAsia="zh-CN"/>
        </w:rPr>
      </w:pPr>
      <w:r>
        <w:rPr>
          <w:rFonts w:hint="eastAsia" w:ascii="仿宋_GB2312" w:hAnsi="仿宋_GB2312" w:eastAsia="仿宋_GB2312" w:cs="仿宋_GB2312"/>
          <w:color w:val="0D0D0D"/>
          <w:sz w:val="32"/>
          <w:szCs w:val="32"/>
          <w:lang w:val="en-US" w:eastAsia="zh-CN"/>
        </w:rPr>
        <w:t>成  员：金  杰  图们市月晴镇政府镇长</w:t>
      </w:r>
    </w:p>
    <w:p>
      <w:pPr>
        <w:numPr>
          <w:ilvl w:val="0"/>
          <w:numId w:val="0"/>
        </w:numPr>
        <w:rPr>
          <w:rFonts w:hint="eastAsia" w:ascii="仿宋_GB2312" w:hAnsi="仿宋_GB2312" w:eastAsia="仿宋_GB2312" w:cs="仿宋_GB2312"/>
          <w:color w:val="0D0D0D"/>
          <w:sz w:val="32"/>
          <w:szCs w:val="32"/>
          <w:lang w:val="en-US" w:eastAsia="zh-CN"/>
        </w:rPr>
      </w:pPr>
      <w:r>
        <w:rPr>
          <w:rFonts w:hint="eastAsia" w:ascii="仿宋_GB2312" w:hAnsi="仿宋_GB2312" w:eastAsia="仿宋_GB2312" w:cs="仿宋_GB2312"/>
          <w:color w:val="0D0D0D"/>
          <w:sz w:val="32"/>
          <w:szCs w:val="32"/>
          <w:lang w:val="en-US" w:eastAsia="zh-CN"/>
        </w:rPr>
        <w:t xml:space="preserve">            金  辉  图们市石岘镇政府镇长</w:t>
      </w:r>
    </w:p>
    <w:p>
      <w:pPr>
        <w:numPr>
          <w:ilvl w:val="0"/>
          <w:numId w:val="0"/>
        </w:numPr>
        <w:rPr>
          <w:rFonts w:hint="eastAsia" w:ascii="仿宋_GB2312" w:hAnsi="仿宋_GB2312" w:eastAsia="仿宋_GB2312" w:cs="仿宋_GB2312"/>
          <w:color w:val="0D0D0D"/>
          <w:sz w:val="32"/>
          <w:szCs w:val="32"/>
          <w:lang w:val="en-US" w:eastAsia="zh-CN"/>
        </w:rPr>
      </w:pPr>
      <w:r>
        <w:rPr>
          <w:rFonts w:hint="eastAsia" w:ascii="仿宋_GB2312" w:hAnsi="仿宋_GB2312" w:eastAsia="仿宋_GB2312" w:cs="仿宋_GB2312"/>
          <w:color w:val="0D0D0D"/>
          <w:sz w:val="32"/>
          <w:szCs w:val="32"/>
          <w:lang w:val="en-US" w:eastAsia="zh-CN"/>
        </w:rPr>
        <w:t xml:space="preserve">            张大志  图们市长安镇政府镇长</w:t>
      </w:r>
    </w:p>
    <w:p>
      <w:pPr>
        <w:numPr>
          <w:ilvl w:val="0"/>
          <w:numId w:val="0"/>
        </w:numPr>
        <w:rPr>
          <w:rFonts w:hint="eastAsia" w:ascii="仿宋_GB2312" w:hAnsi="仿宋_GB2312" w:eastAsia="仿宋_GB2312" w:cs="仿宋_GB2312"/>
          <w:color w:val="0D0D0D"/>
          <w:sz w:val="32"/>
          <w:szCs w:val="32"/>
          <w:lang w:val="en-US" w:eastAsia="zh-CN"/>
        </w:rPr>
      </w:pPr>
      <w:r>
        <w:rPr>
          <w:rFonts w:hint="eastAsia" w:ascii="仿宋_GB2312" w:hAnsi="仿宋_GB2312" w:eastAsia="仿宋_GB2312" w:cs="仿宋_GB2312"/>
          <w:color w:val="0D0D0D"/>
          <w:sz w:val="32"/>
          <w:szCs w:val="32"/>
          <w:lang w:val="en-US" w:eastAsia="zh-CN"/>
        </w:rPr>
        <w:t xml:space="preserve">            孙光胜  图们市凉水镇政府镇长</w:t>
      </w:r>
    </w:p>
    <w:p>
      <w:pPr>
        <w:numPr>
          <w:ilvl w:val="0"/>
          <w:numId w:val="0"/>
        </w:numPr>
        <w:rPr>
          <w:rFonts w:hint="eastAsia" w:ascii="仿宋_GB2312" w:hAnsi="仿宋_GB2312" w:eastAsia="仿宋_GB2312" w:cs="仿宋_GB2312"/>
          <w:color w:val="0D0D0D"/>
          <w:sz w:val="32"/>
          <w:szCs w:val="32"/>
          <w:lang w:val="en-US" w:eastAsia="zh-CN"/>
        </w:rPr>
      </w:pPr>
      <w:r>
        <w:rPr>
          <w:rFonts w:hint="eastAsia" w:ascii="仿宋_GB2312" w:hAnsi="仿宋_GB2312" w:eastAsia="仿宋_GB2312" w:cs="仿宋_GB2312"/>
          <w:color w:val="0D0D0D"/>
          <w:sz w:val="32"/>
          <w:szCs w:val="32"/>
          <w:lang w:val="en-US" w:eastAsia="zh-CN"/>
        </w:rPr>
        <w:t xml:space="preserve">    下设办公室，办公室设在图们市农业机械管理总站，办公室主任为金昌席，联系人：纪颖，  联系电话：13894334030</w:t>
      </w:r>
    </w:p>
    <w:p>
      <w:pPr>
        <w:numPr>
          <w:ilvl w:val="0"/>
          <w:numId w:val="0"/>
        </w:numPr>
        <w:rPr>
          <w:rFonts w:hint="eastAsia" w:ascii="仿宋_GB2312" w:hAnsi="仿宋_GB2312" w:eastAsia="仿宋_GB2312" w:cs="仿宋_GB2312"/>
          <w:color w:val="0D0D0D"/>
          <w:sz w:val="32"/>
          <w:szCs w:val="32"/>
          <w:lang w:val="en-US" w:eastAsia="zh-CN"/>
        </w:rPr>
      </w:pPr>
      <w:r>
        <w:rPr>
          <w:rFonts w:hint="eastAsia" w:ascii="仿宋_GB2312" w:hAnsi="仿宋_GB2312" w:eastAsia="仿宋_GB2312" w:cs="仿宋_GB2312"/>
          <w:color w:val="0D0D0D"/>
          <w:sz w:val="32"/>
          <w:szCs w:val="32"/>
          <w:lang w:val="en-US" w:eastAsia="zh-CN"/>
        </w:rPr>
        <w:t xml:space="preserve">  </w:t>
      </w:r>
    </w:p>
    <w:p>
      <w:pPr>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Batang">
    <w:altName w:val="GulimChe"/>
    <w:panose1 w:val="02030600000101010101"/>
    <w:charset w:val="81"/>
    <w:family w:val="auto"/>
    <w:pitch w:val="default"/>
    <w:sig w:usb0="00000000" w:usb1="00000000" w:usb2="00000030" w:usb3="00000000" w:csb0="4008009F" w:csb1="DFD70000"/>
  </w:font>
  <w:font w:name="仿宋_GB2312">
    <w:panose1 w:val="02010609030101010101"/>
    <w:charset w:val="86"/>
    <w:family w:val="modern"/>
    <w:pitch w:val="default"/>
    <w:sig w:usb0="00000001" w:usb1="080E0000" w:usb2="00000000" w:usb3="00000000" w:csb0="00040000" w:csb1="00000000"/>
  </w:font>
  <w:font w:name="GulimChe">
    <w:panose1 w:val="020B0609000101010101"/>
    <w:charset w:val="81"/>
    <w:family w:val="auto"/>
    <w:pitch w:val="default"/>
    <w:sig w:usb0="B00002AF" w:usb1="69D77CFB" w:usb2="00000030" w:usb3="00000000" w:csb0="4008009F" w:csb1="DFD70000"/>
  </w:font>
  <w:font w:name="Tahoma">
    <w:panose1 w:val="020B0604030504040204"/>
    <w:charset w:val="00"/>
    <w:family w:val="swiss"/>
    <w:pitch w:val="default"/>
    <w:sig w:usb0="61007A87" w:usb1="80000000" w:usb2="00000008" w:usb3="00000000" w:csb0="200101FF" w:csb1="20280000"/>
  </w:font>
  <w:font w:name="微软雅黑">
    <w:panose1 w:val="020B0503020204020204"/>
    <w:charset w:val="86"/>
    <w:family w:val="swiss"/>
    <w:pitch w:val="default"/>
    <w:sig w:usb0="80000287" w:usb1="2A0F3C52" w:usb2="00000016" w:usb3="00000000" w:csb0="0004001F" w:csb1="00000000"/>
  </w:font>
  <w:font w:name="Cambria Math">
    <w:panose1 w:val="02040503050406030204"/>
    <w:charset w:val="00"/>
    <w:family w:val="auto"/>
    <w:pitch w:val="default"/>
    <w:sig w:usb0="A00002EF" w:usb1="420020EB" w:usb2="00000000" w:usb3="00000000" w:csb0="2000009F" w:csb1="00000000"/>
  </w:font>
  <w:font w:name="@宋体">
    <w:panose1 w:val="02010600030101010101"/>
    <w:charset w:val="86"/>
    <w:family w:val="auto"/>
    <w:pitch w:val="default"/>
    <w:sig w:usb0="00000003" w:usb1="080E0000" w:usb2="00000000" w:usb3="00000000" w:csb0="00040001" w:csb1="00000000"/>
  </w:font>
  <w:font w:name="华文彩云">
    <w:altName w:val="微软雅黑"/>
    <w:panose1 w:val="02010800040101010101"/>
    <w:charset w:val="86"/>
    <w:family w:val="auto"/>
    <w:pitch w:val="default"/>
    <w:sig w:usb0="00000000" w:usb1="00000000" w:usb2="0000000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华文楷体">
    <w:altName w:val="楷体_GB2312"/>
    <w:panose1 w:val="02010600040101010101"/>
    <w:charset w:val="86"/>
    <w:family w:val="auto"/>
    <w:pitch w:val="default"/>
    <w:sig w:usb0="00000000" w:usb1="00000000" w:usb2="00000000" w:usb3="00000000" w:csb0="0004009F" w:csb1="DFD70000"/>
  </w:font>
  <w:font w:name="华文琥珀">
    <w:altName w:val="宋体"/>
    <w:panose1 w:val="0201080004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altName w:val="仿宋_GB2312"/>
    <w:panose1 w:val="00000000000000000000"/>
    <w:charset w:val="86"/>
    <w:family w:val="auto"/>
    <w:pitch w:val="default"/>
    <w:sig w:usb0="00000000" w:usb1="00000000" w:usb2="00000016" w:usb3="00000000" w:csb0="00040001" w:csb1="00000000"/>
  </w:font>
  <w:font w:name="@华文宋体">
    <w:altName w:val="宋体"/>
    <w:panose1 w:val="02010600040101010101"/>
    <w:charset w:val="86"/>
    <w:family w:val="auto"/>
    <w:pitch w:val="default"/>
    <w:sig w:usb0="00000000" w:usb1="00000000" w:usb2="00000000" w:usb3="00000000" w:csb0="0004009F" w:csb1="DFD70000"/>
  </w:font>
  <w:font w:name="华文仿宋">
    <w:altName w:val="仿宋_GB2312"/>
    <w:panose1 w:val="02010600040101010101"/>
    <w:charset w:val="86"/>
    <w:family w:val="auto"/>
    <w:pitch w:val="default"/>
    <w:sig w:usb0="00000000" w:usb1="00000000" w:usb2="00000000" w:usb3="00000000" w:csb0="0004009F" w:csb1="DFD70000"/>
  </w:font>
  <w:font w:name="仿宋">
    <w:altName w:val="微软雅黑"/>
    <w:panose1 w:val="00000000000000000000"/>
    <w:charset w:val="86"/>
    <w:family w:val="auto"/>
    <w:pitch w:val="default"/>
    <w:sig w:usb0="00000000" w:usb1="00000000" w:usb2="00000016" w:usb3="00000000" w:csb0="00040001" w:csb1="00000000"/>
  </w:font>
  <w:font w:name="华文宋体">
    <w:altName w:val="宋体"/>
    <w:panose1 w:val="02010600040101010101"/>
    <w:charset w:val="86"/>
    <w:family w:val="auto"/>
    <w:pitch w:val="default"/>
    <w:sig w:usb0="00000000" w:usb1="00000000" w:usb2="00000000" w:usb3="00000000" w:csb0="0004009F" w:csb1="DFD70000"/>
  </w:font>
  <w:font w:name="@华文仿宋">
    <w:altName w:val="仿宋_GB2312"/>
    <w:panose1 w:val="02010600040101010101"/>
    <w:charset w:val="86"/>
    <w:family w:val="auto"/>
    <w:pitch w:val="default"/>
    <w:sig w:usb0="00000000" w:usb1="00000000" w:usb2="00000000" w:usb3="00000000" w:csb0="0004009F" w:csb1="DFD70000"/>
  </w:font>
  <w:font w:name="Arial">
    <w:panose1 w:val="020B0604020202020204"/>
    <w:charset w:val="00"/>
    <w:family w:val="auto"/>
    <w:pitch w:val="default"/>
    <w:sig w:usb0="00007A87" w:usb1="80000000" w:usb2="00000008" w:usb3="00000000" w:csb0="400001FF" w:csb1="FFFF0000"/>
  </w:font>
  <w:font w:name="Arial Unicode MS">
    <w:altName w:val="宋体"/>
    <w:panose1 w:val="020B0604020202020204"/>
    <w:charset w:val="86"/>
    <w:family w:val="auto"/>
    <w:pitch w:val="default"/>
    <w:sig w:usb0="00000000" w:usb1="00000000" w:usb2="0000003F" w:usb3="00000000" w:csb0="603F01FF" w:csb1="FFFF0000"/>
  </w:font>
  <w:font w:name="楷体_GB2312">
    <w:panose1 w:val="02010609030101010101"/>
    <w:charset w:val="86"/>
    <w:family w:val="auto"/>
    <w:pitch w:val="default"/>
    <w:sig w:usb0="00000001" w:usb1="080E0000" w:usb2="00000000" w:usb3="00000000" w:csb0="00040000" w:csb1="00000000"/>
  </w:font>
  <w:font w:name="宋体-PUA">
    <w:panose1 w:val="02010600030101010101"/>
    <w:charset w:val="86"/>
    <w:family w:val="auto"/>
    <w:pitch w:val="default"/>
    <w:sig w:usb0="00000000" w:usb1="10000000" w:usb2="00000000" w:usb3="00000000" w:csb0="00040000" w:csb1="00000000"/>
  </w:font>
  <w:font w:name="新宋体">
    <w:panose1 w:val="02010609030101010101"/>
    <w:charset w:val="86"/>
    <w:family w:val="auto"/>
    <w:pitch w:val="default"/>
    <w:sig w:usb0="00000003" w:usb1="080E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D89957"/>
    <w:multiLevelType w:val="singleLevel"/>
    <w:tmpl w:val="87D89957"/>
    <w:lvl w:ilvl="0" w:tentative="0">
      <w:start w:val="2"/>
      <w:numFmt w:val="chineseCounting"/>
      <w:suff w:val="nothing"/>
      <w:lvlText w:val="%1、"/>
      <w:lvlJc w:val="left"/>
      <w:rPr>
        <w:rFonts w:hint="eastAsia"/>
      </w:rPr>
    </w:lvl>
  </w:abstractNum>
  <w:abstractNum w:abstractNumId="1">
    <w:nsid w:val="1025D1EE"/>
    <w:multiLevelType w:val="singleLevel"/>
    <w:tmpl w:val="1025D1EE"/>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170401"/>
    <w:rsid w:val="06A81F07"/>
    <w:rsid w:val="3F170401"/>
    <w:rsid w:val="66DD5CDE"/>
    <w:rsid w:val="7E872FD8"/>
    <w:rsid w:val="7EC546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4">
    <w:name w:val="Strong"/>
    <w:qFormat/>
    <w:uiPriority w:val="0"/>
    <w:rPr>
      <w:b/>
      <w:bCs/>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2017-09-19T05:59:00Z</dcterms:created>
  <dc:creator>Administrator</dc:creator>
  <cp:lastModifiedBy>Administrator</cp:lastModifiedBy>
  <dcterms:modified xsi:type="dcterms:W3CDTF">2018-02-27T01:38:50Z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