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4"/>
          <w:szCs w:val="44"/>
        </w:rPr>
      </w:pPr>
      <w:bookmarkStart w:id="0" w:name="_GoBack"/>
      <w:bookmarkEnd w:id="0"/>
    </w:p>
    <w:p>
      <w:pPr>
        <w:jc w:val="center"/>
        <w:rPr>
          <w:b/>
          <w:bCs/>
          <w:sz w:val="44"/>
          <w:szCs w:val="44"/>
        </w:rPr>
      </w:pPr>
      <w:r>
        <w:rPr>
          <w:rFonts w:hint="eastAsia"/>
          <w:b/>
          <w:bCs/>
          <w:sz w:val="44"/>
          <w:szCs w:val="44"/>
        </w:rPr>
        <w:t>吉林省农机安全生产专项整治实施方案</w:t>
      </w:r>
    </w:p>
    <w:p>
      <w:pPr>
        <w:pStyle w:val="4"/>
        <w:widowControl/>
        <w:shd w:val="clear" w:color="auto" w:fill="FFFFFF"/>
        <w:spacing w:beforeAutospacing="0" w:afterAutospacing="0" w:line="480" w:lineRule="atLeast"/>
        <w:ind w:firstLine="640" w:firstLineChars="200"/>
        <w:rPr>
          <w:rFonts w:ascii="仿宋_GB2312" w:hAnsi="仿宋_GB2312" w:eastAsia="仿宋_GB2312" w:cs="仿宋_GB2312"/>
          <w:color w:val="000000"/>
          <w:sz w:val="32"/>
          <w:szCs w:val="32"/>
        </w:rPr>
      </w:pPr>
    </w:p>
    <w:p>
      <w:pPr>
        <w:pStyle w:val="4"/>
        <w:widowControl/>
        <w:shd w:val="clear" w:color="auto" w:fill="FFFFFF"/>
        <w:spacing w:beforeAutospacing="0" w:afterAutospacing="0" w:line="480" w:lineRule="atLeas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按照《吉林省农业农村厅关于进一步加强安全生产工作暨开展农业安全专项整治的通知》（吉农安发[2019]4号）要求，切实</w:t>
      </w:r>
      <w:r>
        <w:rPr>
          <w:rFonts w:hint="eastAsia" w:ascii="仿宋_GB2312" w:hAnsi="仿宋_GB2312" w:eastAsia="仿宋_GB2312" w:cs="仿宋_GB2312"/>
          <w:sz w:val="32"/>
          <w:szCs w:val="32"/>
        </w:rPr>
        <w:t>加强农机安全生产监管，推进农机生产安全平稳发展，</w:t>
      </w:r>
      <w:r>
        <w:rPr>
          <w:rFonts w:hint="eastAsia" w:ascii="仿宋_GB2312" w:hAnsi="仿宋_GB2312" w:eastAsia="仿宋_GB2312" w:cs="仿宋_GB2312"/>
          <w:color w:val="000000"/>
          <w:sz w:val="32"/>
          <w:szCs w:val="32"/>
        </w:rPr>
        <w:t>为将农机安全工作落到实处，结合全省农机安全生产实际，决定在全省范围内开展</w:t>
      </w:r>
      <w:r>
        <w:rPr>
          <w:rFonts w:hint="eastAsia" w:ascii="仿宋_GB2312" w:hAnsi="仿宋_GB2312" w:eastAsia="仿宋_GB2312" w:cs="仿宋_GB2312"/>
          <w:sz w:val="32"/>
          <w:szCs w:val="32"/>
        </w:rPr>
        <w:t>农机安全生产专项整治活动，制定本方案。</w:t>
      </w:r>
    </w:p>
    <w:p>
      <w:pPr>
        <w:ind w:left="638" w:leftChars="304"/>
        <w:rPr>
          <w:rFonts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一、总体要求</w:t>
      </w:r>
    </w:p>
    <w:p>
      <w:pPr>
        <w:ind w:firstLine="640" w:firstLineChars="200"/>
        <w:rPr>
          <w:rFonts w:eastAsia="仿宋_GB2312"/>
          <w:sz w:val="32"/>
          <w:szCs w:val="32"/>
        </w:rPr>
      </w:pPr>
      <w:r>
        <w:rPr>
          <w:rFonts w:hint="eastAsia" w:ascii="仿宋_GB2312" w:hAnsi="仿宋_GB2312" w:eastAsia="仿宋_GB2312" w:cs="仿宋_GB2312"/>
          <w:sz w:val="32"/>
          <w:szCs w:val="32"/>
        </w:rPr>
        <w:t>深入贯彻习近平总书记关于安全生产的重要批示指示精神，牢固树立安全发展理念，认真落实省委省政府、省安委会和省农业农村厅关于安全生产工作部署，着力推进农机安全生产领域改革发展，强化安全生产责任落实，加速构建农机企业、农机所有者和农机操作人员自负主体责任、自查自除事故隐患，属地监管责任落实，行业监督指导有效的运行管理机制，围绕重点环节、重点部位存在的问题，实施标本兼治、源头管控等精准防范对策措施，消除农机安全事故隐患及监管责任落实盲区，提升农机安全生产保障能力。</w:t>
      </w:r>
      <w:r>
        <w:rPr>
          <w:rFonts w:hint="eastAsia" w:ascii="仿宋_GB2312" w:hAnsi="仿宋_GB2312" w:eastAsia="仿宋_GB2312" w:cs="仿宋_GB2312"/>
          <w:sz w:val="32"/>
          <w:szCs w:val="32"/>
        </w:rPr>
        <w:br w:type="textWrapping"/>
      </w:r>
      <w:r>
        <w:rPr>
          <w:rFonts w:hint="eastAsia" w:ascii="黑体" w:hAnsi="黑体" w:eastAsia="黑体" w:cs="黑体"/>
          <w:sz w:val="32"/>
          <w:szCs w:val="32"/>
        </w:rPr>
        <w:t> </w:t>
      </w: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二、工作任务</w:t>
      </w:r>
      <w:r>
        <w:rPr>
          <w:rFonts w:hint="eastAsia" w:ascii="黑体" w:hAnsi="黑体" w:eastAsia="黑体" w:cs="黑体"/>
          <w:sz w:val="32"/>
          <w:szCs w:val="32"/>
        </w:rPr>
        <w:br w:type="textWrapping"/>
      </w:r>
      <w:r>
        <w:rPr>
          <w:rFonts w:hint="eastAsia" w:ascii="仿宋_GB2312" w:hAnsi="仿宋_GB2312" w:eastAsia="仿宋_GB2312" w:cs="仿宋_GB2312"/>
          <w:sz w:val="32"/>
          <w:szCs w:val="32"/>
        </w:rPr>
        <w:t xml:space="preserve">    紧紧围绕农机安全生产“八个到位”即：“安全意识是否树立、安全要件是否齐全、安全隐患是否排除、安全预案是否制定、安全制度是否健全、安全责任是否落实、安全人员是否到位、安全设施是否备齐”等目标任务，强化企业主体责任、属地监管责任、行业监督责任的落实，突出重点环节，补齐薄弱短板。</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（一）强化主体责任落实。</w:t>
      </w:r>
      <w:r>
        <w:rPr>
          <w:rFonts w:hint="eastAsia" w:ascii="仿宋_GB2312" w:hAnsi="仿宋_GB2312" w:eastAsia="仿宋_GB2312" w:cs="仿宋_GB2312"/>
          <w:sz w:val="32"/>
          <w:szCs w:val="32"/>
        </w:rPr>
        <w:t>企业、农机合作社（农机大户）要健全规章制度和标准规范，</w:t>
      </w:r>
      <w:r>
        <w:rPr>
          <w:rFonts w:hint="eastAsia" w:eastAsia="仿宋_GB2312"/>
          <w:sz w:val="32"/>
          <w:szCs w:val="32"/>
        </w:rPr>
        <w:t>贯彻落实“农业机械操作规程”。提高农机所有人和农机操作人员自身的安全防范意识，</w:t>
      </w:r>
      <w:r>
        <w:rPr>
          <w:rFonts w:hint="eastAsia" w:ascii="仿宋_GB2312" w:hAnsi="仿宋_GB2312" w:eastAsia="仿宋_GB2312" w:cs="仿宋_GB2312"/>
          <w:sz w:val="32"/>
          <w:szCs w:val="32"/>
        </w:rPr>
        <w:t>确保安全生产责任、管理、投入、培训和应急措施“五落实”。</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（二）强化属地监管责任落实。</w:t>
      </w:r>
      <w:r>
        <w:rPr>
          <w:rFonts w:hint="eastAsia" w:ascii="仿宋_GB2312" w:hAnsi="仿宋_GB2312" w:eastAsia="仿宋_GB2312" w:cs="仿宋_GB2312"/>
          <w:sz w:val="32"/>
          <w:szCs w:val="32"/>
        </w:rPr>
        <w:t>各地要明责知责，工作细化到项、责任具体到人，普查有序推进，巡查及时到位，筛查突出重点。</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（三）强化行业监督责任落实</w:t>
      </w:r>
      <w:r>
        <w:rPr>
          <w:rFonts w:hint="eastAsia" w:ascii="华文仿宋" w:hAnsi="华文仿宋" w:eastAsia="华文仿宋" w:cs="楷体"/>
          <w:b/>
          <w:bCs/>
          <w:sz w:val="32"/>
          <w:szCs w:val="32"/>
        </w:rPr>
        <w:t>。</w:t>
      </w:r>
      <w:r>
        <w:rPr>
          <w:rFonts w:hint="eastAsia" w:ascii="仿宋_GB2312" w:hAnsi="仿宋_GB2312" w:eastAsia="仿宋_GB2312" w:cs="仿宋_GB2312"/>
          <w:sz w:val="32"/>
          <w:szCs w:val="32"/>
        </w:rPr>
        <w:t>行业管理部门要逐级落实安全生产监督责任，将安全生产源头管控措施贯穿于行业监督全过程。</w:t>
      </w:r>
    </w:p>
    <w:p>
      <w:pPr>
        <w:ind w:firstLine="640" w:firstLineChars="200"/>
        <w:rPr>
          <w:rFonts w:ascii="黑体" w:hAnsi="黑体" w:eastAsia="黑体" w:cs="黑体"/>
          <w:sz w:val="32"/>
          <w:szCs w:val="32"/>
        </w:rPr>
      </w:pPr>
      <w:r>
        <w:rPr>
          <w:rFonts w:hint="eastAsia" w:ascii="黑体" w:hAnsi="黑体" w:eastAsia="黑体" w:cs="黑体"/>
          <w:sz w:val="32"/>
          <w:szCs w:val="32"/>
        </w:rPr>
        <w:t>三、重点工作</w:t>
      </w:r>
    </w:p>
    <w:p>
      <w:pPr>
        <w:ind w:firstLine="640" w:firstLineChars="200"/>
        <w:rPr>
          <w:rFonts w:ascii="仿宋_GB2312" w:hAnsi="仿宋_GB2312" w:eastAsia="仿宋_GB2312" w:cs="仿宋_GB2312"/>
          <w:color w:val="FF0000"/>
          <w:sz w:val="32"/>
          <w:szCs w:val="32"/>
        </w:rPr>
      </w:pPr>
      <w:r>
        <w:rPr>
          <w:rFonts w:hint="eastAsia" w:ascii="楷体_GB2312" w:hAnsi="楷体_GB2312" w:eastAsia="楷体_GB2312" w:cs="楷体_GB2312"/>
          <w:sz w:val="32"/>
          <w:szCs w:val="32"/>
        </w:rPr>
        <w:t>（一）加强源头管理。</w:t>
      </w:r>
      <w:r>
        <w:rPr>
          <w:rFonts w:hint="eastAsia" w:ascii="仿宋_GB2312" w:hAnsi="仿宋_GB2312" w:eastAsia="仿宋_GB2312" w:cs="仿宋_GB2312"/>
          <w:sz w:val="32"/>
          <w:szCs w:val="32"/>
        </w:rPr>
        <w:t>县级农业机械化管理部门负责本辖区农业机械安全技术检验、农机维修网点安全生产专项治理检查。检查的对象是从事农机维修企业，从事农机维修服务的农机合作社、农机大户和农机经销商（统称农机维修网点）。</w:t>
      </w:r>
      <w:r>
        <w:rPr>
          <w:rFonts w:hint="eastAsia" w:ascii="仿宋_GB2312" w:hAnsi="仿宋_GB2312" w:eastAsia="仿宋_GB2312" w:cs="仿宋_GB2312"/>
          <w:color w:val="000000"/>
          <w:spacing w:val="15"/>
          <w:kern w:val="0"/>
          <w:sz w:val="32"/>
          <w:szCs w:val="32"/>
          <w:shd w:val="clear" w:color="auto" w:fill="FFFFFF"/>
        </w:rPr>
        <w:t>要严格执行《农业机械检验技术规范》，加大农业机械检验力度，提高检验率。按照《农业机械维修业开业技术条件》的设备、设施、人员、质量管理、安全生产、环境保护等条件的要求进行整改。</w:t>
      </w:r>
    </w:p>
    <w:p>
      <w:pPr>
        <w:spacing w:line="396" w:lineRule="atLeast"/>
        <w:ind w:firstLine="640" w:firstLineChars="200"/>
        <w:rPr>
          <w:rFonts w:ascii="仿宋_GB2312" w:hAnsi="仿宋_GB2312" w:eastAsia="仿宋_GB2312" w:cs="仿宋_GB2312"/>
          <w:sz w:val="32"/>
          <w:szCs w:val="32"/>
        </w:rPr>
      </w:pPr>
      <w:r>
        <w:rPr>
          <w:rFonts w:hint="eastAsia" w:ascii="楷体_GB2312" w:hAnsi="楷体_GB2312" w:eastAsia="楷体_GB2312" w:cs="楷体_GB2312"/>
          <w:bCs/>
          <w:sz w:val="32"/>
          <w:szCs w:val="32"/>
        </w:rPr>
        <w:t>（二）安全宣传与培训教育</w:t>
      </w:r>
      <w:r>
        <w:rPr>
          <w:rFonts w:hint="eastAsia" w:ascii="华文仿宋" w:hAnsi="华文仿宋" w:eastAsia="华文仿宋" w:cs="楷体"/>
          <w:b/>
          <w:sz w:val="32"/>
          <w:szCs w:val="32"/>
        </w:rPr>
        <w:t>。</w:t>
      </w:r>
      <w:r>
        <w:rPr>
          <w:rFonts w:hint="eastAsia" w:ascii="仿宋_GB2312" w:hAnsi="仿宋_GB2312" w:eastAsia="仿宋_GB2312" w:cs="仿宋_GB2312"/>
          <w:sz w:val="32"/>
          <w:szCs w:val="32"/>
        </w:rPr>
        <w:t>县级农业机械化管理部门负责安全宣传与培训教育。农机管理人员要深入农村集市、田间场院等农机生产经营场所，向广大农民群众及农机手进行安全专题宣讲，广泛宣传农机安全法律法规和安全操作知识。通过悬挂宣传横幅、印制法律法规文件、编制影像资料、组织安全培训、召开安全会议等多种方式，对企业和农机所有者开展安全生产宣传（培训、教育）工作，落实安全宣传工作。</w:t>
      </w:r>
    </w:p>
    <w:p>
      <w:pPr>
        <w:spacing w:line="396" w:lineRule="atLeast"/>
        <w:ind w:firstLine="640" w:firstLineChars="200"/>
        <w:rPr>
          <w:rFonts w:ascii="仿宋_GB2312" w:hAnsi="仿宋_GB2312" w:eastAsia="仿宋_GB2312" w:cs="仿宋_GB2312"/>
          <w:color w:val="333333"/>
          <w:sz w:val="32"/>
          <w:szCs w:val="32"/>
        </w:rPr>
      </w:pPr>
      <w:r>
        <w:rPr>
          <w:rFonts w:hint="eastAsia" w:ascii="楷体_GB2312" w:hAnsi="楷体_GB2312" w:eastAsia="楷体_GB2312" w:cs="楷体_GB2312"/>
          <w:bCs/>
          <w:sz w:val="32"/>
          <w:szCs w:val="32"/>
        </w:rPr>
        <w:t>（三）检查内容。</w:t>
      </w:r>
      <w:r>
        <w:rPr>
          <w:rFonts w:hint="eastAsia" w:ascii="楷体_GB2312" w:hAnsi="楷体_GB2312" w:eastAsia="楷体_GB2312" w:cs="楷体_GB2312"/>
          <w:color w:val="333333"/>
          <w:sz w:val="32"/>
          <w:szCs w:val="32"/>
          <w:shd w:val="clear" w:color="auto" w:fill="FFFFFF"/>
        </w:rPr>
        <w:t>一是</w:t>
      </w:r>
      <w:r>
        <w:rPr>
          <w:rFonts w:hint="eastAsia" w:ascii="仿宋_GB2312" w:hAnsi="仿宋_GB2312" w:eastAsia="仿宋_GB2312" w:cs="仿宋_GB2312"/>
          <w:sz w:val="32"/>
          <w:szCs w:val="32"/>
        </w:rPr>
        <w:t>农机维修网点</w:t>
      </w:r>
      <w:r>
        <w:rPr>
          <w:rFonts w:hint="eastAsia" w:ascii="仿宋_GB2312" w:hAnsi="仿宋_GB2312" w:eastAsia="仿宋_GB2312" w:cs="仿宋_GB2312"/>
          <w:color w:val="333333"/>
          <w:sz w:val="32"/>
          <w:szCs w:val="32"/>
          <w:shd w:val="clear" w:color="auto" w:fill="FFFFFF"/>
        </w:rPr>
        <w:t>安全政策法规和安全生产监管责任落实情况；</w:t>
      </w:r>
      <w:r>
        <w:rPr>
          <w:rFonts w:hint="eastAsia" w:ascii="楷体_GB2312" w:hAnsi="楷体_GB2312" w:eastAsia="楷体_GB2312" w:cs="楷体_GB2312"/>
          <w:color w:val="333333"/>
          <w:sz w:val="32"/>
          <w:szCs w:val="32"/>
          <w:shd w:val="clear" w:color="auto" w:fill="FFFFFF"/>
        </w:rPr>
        <w:t>二是</w:t>
      </w:r>
      <w:r>
        <w:rPr>
          <w:rFonts w:hint="eastAsia" w:ascii="仿宋_GB2312" w:hAnsi="仿宋_GB2312" w:eastAsia="仿宋_GB2312" w:cs="仿宋_GB2312"/>
          <w:color w:val="333333"/>
          <w:sz w:val="32"/>
          <w:szCs w:val="32"/>
          <w:shd w:val="clear" w:color="auto" w:fill="FFFFFF"/>
        </w:rPr>
        <w:t>农机维修网点安全生产隐患排查治理和安全应急处置及保障情况；</w:t>
      </w:r>
      <w:r>
        <w:rPr>
          <w:rFonts w:hint="eastAsia" w:ascii="楷体_GB2312" w:hAnsi="楷体_GB2312" w:eastAsia="楷体_GB2312" w:cs="楷体_GB2312"/>
          <w:color w:val="333333"/>
          <w:sz w:val="32"/>
          <w:szCs w:val="32"/>
          <w:shd w:val="clear" w:color="auto" w:fill="FFFFFF"/>
        </w:rPr>
        <w:t>三是</w:t>
      </w:r>
      <w:r>
        <w:rPr>
          <w:rFonts w:hint="eastAsia" w:ascii="仿宋_GB2312" w:hAnsi="仿宋_GB2312" w:eastAsia="仿宋_GB2312" w:cs="仿宋_GB2312"/>
          <w:sz w:val="32"/>
          <w:szCs w:val="32"/>
        </w:rPr>
        <w:t>农机维修网点从业人员资质、</w:t>
      </w:r>
      <w:r>
        <w:rPr>
          <w:rFonts w:hint="eastAsia" w:ascii="仿宋_GB2312" w:hAnsi="仿宋_GB2312" w:eastAsia="仿宋_GB2312" w:cs="仿宋_GB2312"/>
          <w:color w:val="333333"/>
          <w:sz w:val="32"/>
          <w:szCs w:val="32"/>
          <w:shd w:val="clear" w:color="auto" w:fill="FFFFFF"/>
        </w:rPr>
        <w:t>安全制度、环保制度</w:t>
      </w:r>
      <w:r>
        <w:rPr>
          <w:rFonts w:hint="eastAsia" w:ascii="仿宋_GB2312" w:hAnsi="仿宋_GB2312" w:eastAsia="仿宋_GB2312" w:cs="仿宋_GB2312"/>
          <w:sz w:val="32"/>
          <w:szCs w:val="32"/>
        </w:rPr>
        <w:t>制定和落实</w:t>
      </w:r>
      <w:r>
        <w:rPr>
          <w:rFonts w:hint="eastAsia" w:ascii="仿宋_GB2312" w:hAnsi="仿宋_GB2312" w:eastAsia="仿宋_GB2312" w:cs="仿宋_GB2312"/>
          <w:color w:val="333333"/>
          <w:sz w:val="32"/>
          <w:szCs w:val="32"/>
          <w:shd w:val="clear" w:color="auto" w:fill="FFFFFF"/>
        </w:rPr>
        <w:t>情况；</w:t>
      </w:r>
      <w:r>
        <w:rPr>
          <w:rFonts w:hint="eastAsia" w:ascii="楷体_GB2312" w:hAnsi="楷体_GB2312" w:eastAsia="楷体_GB2312" w:cs="楷体_GB2312"/>
          <w:color w:val="333333"/>
          <w:sz w:val="32"/>
          <w:szCs w:val="32"/>
          <w:shd w:val="clear" w:color="auto" w:fill="FFFFFF"/>
        </w:rPr>
        <w:t>四是</w:t>
      </w:r>
      <w:r>
        <w:rPr>
          <w:rFonts w:hint="eastAsia" w:ascii="仿宋_GB2312" w:hAnsi="仿宋_GB2312" w:eastAsia="仿宋_GB2312" w:cs="仿宋_GB2312"/>
          <w:sz w:val="32"/>
          <w:szCs w:val="32"/>
        </w:rPr>
        <w:t>农机维修网点</w:t>
      </w:r>
      <w:r>
        <w:rPr>
          <w:rFonts w:hint="eastAsia" w:ascii="仿宋_GB2312" w:hAnsi="仿宋_GB2312" w:eastAsia="仿宋_GB2312" w:cs="仿宋_GB2312"/>
          <w:color w:val="333333"/>
          <w:sz w:val="32"/>
          <w:szCs w:val="32"/>
          <w:shd w:val="clear" w:color="auto" w:fill="FFFFFF"/>
        </w:rPr>
        <w:t>突出问题和重大隐患整改落实情况；</w:t>
      </w:r>
      <w:r>
        <w:rPr>
          <w:rFonts w:hint="eastAsia" w:ascii="楷体_GB2312" w:hAnsi="楷体_GB2312" w:eastAsia="楷体_GB2312" w:cs="楷体_GB2312"/>
          <w:color w:val="333333"/>
          <w:sz w:val="32"/>
          <w:szCs w:val="32"/>
          <w:shd w:val="clear" w:color="auto" w:fill="FFFFFF"/>
        </w:rPr>
        <w:t>五是</w:t>
      </w:r>
      <w:r>
        <w:rPr>
          <w:rFonts w:hint="eastAsia" w:ascii="仿宋_GB2312" w:hAnsi="仿宋_GB2312" w:eastAsia="仿宋_GB2312" w:cs="仿宋_GB2312"/>
          <w:sz w:val="32"/>
          <w:szCs w:val="32"/>
        </w:rPr>
        <w:t xml:space="preserve">开展农机安全隐患排查治理工作，重点排查拖拉机（联合收割机）违法载人、超速超载、无牌行驶、无证驾驶和酒后驾驶等违法行为，切实消除农机事故隐患。 </w:t>
      </w:r>
    </w:p>
    <w:p>
      <w:pPr>
        <w:spacing w:line="396" w:lineRule="atLeast"/>
        <w:ind w:firstLine="640" w:firstLineChars="200"/>
        <w:rPr>
          <w:rFonts w:ascii="仿宋_GB2312" w:hAnsi="仿宋_GB2312" w:eastAsia="仿宋_GB2312" w:cs="仿宋_GB2312"/>
          <w:sz w:val="32"/>
          <w:szCs w:val="32"/>
        </w:rPr>
      </w:pPr>
      <w:r>
        <w:rPr>
          <w:rFonts w:hint="eastAsia" w:ascii="楷体" w:hAnsi="楷体" w:eastAsia="楷体" w:cs="楷体"/>
          <w:bCs/>
          <w:sz w:val="32"/>
          <w:szCs w:val="32"/>
        </w:rPr>
        <w:t>（四）约谈负责人</w:t>
      </w:r>
      <w:r>
        <w:rPr>
          <w:rFonts w:hint="eastAsia" w:ascii="楷体" w:hAnsi="楷体" w:eastAsia="楷体" w:cs="楷体"/>
          <w:b/>
          <w:sz w:val="32"/>
          <w:szCs w:val="32"/>
        </w:rPr>
        <w:t>。</w:t>
      </w:r>
      <w:r>
        <w:rPr>
          <w:rFonts w:hint="eastAsia" w:ascii="仿宋_GB2312" w:hAnsi="仿宋_GB2312" w:eastAsia="仿宋_GB2312" w:cs="仿宋_GB2312"/>
          <w:sz w:val="32"/>
          <w:szCs w:val="32"/>
        </w:rPr>
        <w:t>经营中存在安全生产隐患未及时采取措施、发生安全事故、经营管理混乱，县级农业机械化管理部门可以对农机维修网点法定代表人或者主要负责人进行责任约谈。</w:t>
      </w:r>
    </w:p>
    <w:p>
      <w:pPr>
        <w:spacing w:line="396" w:lineRule="atLeast"/>
        <w:ind w:firstLine="640" w:firstLineChars="200"/>
        <w:rPr>
          <w:rFonts w:ascii="仿宋_GB2312" w:hAnsi="仿宋_GB2312" w:eastAsia="仿宋_GB2312" w:cs="仿宋_GB2312"/>
          <w:spacing w:val="-2"/>
          <w:sz w:val="32"/>
          <w:szCs w:val="32"/>
        </w:rPr>
      </w:pPr>
      <w:r>
        <w:rPr>
          <w:rFonts w:hint="eastAsia" w:ascii="楷体" w:hAnsi="楷体" w:eastAsia="楷体" w:cs="楷体"/>
          <w:bCs/>
          <w:sz w:val="32"/>
          <w:szCs w:val="32"/>
        </w:rPr>
        <w:t>（五）检查自查报告</w:t>
      </w:r>
      <w:r>
        <w:rPr>
          <w:rFonts w:hint="eastAsia" w:ascii="楷体" w:hAnsi="楷体" w:eastAsia="楷体" w:cs="楷体"/>
          <w:b/>
          <w:sz w:val="32"/>
          <w:szCs w:val="32"/>
        </w:rPr>
        <w:t>。</w:t>
      </w:r>
      <w:r>
        <w:rPr>
          <w:rFonts w:hint="eastAsia" w:ascii="仿宋_GB2312" w:hAnsi="仿宋_GB2312" w:eastAsia="仿宋_GB2312" w:cs="仿宋_GB2312"/>
          <w:sz w:val="32"/>
          <w:szCs w:val="32"/>
        </w:rPr>
        <w:t>对农机维修网点安全生产进行检查，发现从事农机维修安全隐患、</w:t>
      </w:r>
      <w:r>
        <w:rPr>
          <w:rFonts w:hint="eastAsia" w:ascii="仿宋_GB2312" w:hAnsi="仿宋_GB2312" w:eastAsia="仿宋_GB2312" w:cs="仿宋_GB2312"/>
          <w:spacing w:val="-2"/>
          <w:sz w:val="32"/>
          <w:szCs w:val="32"/>
        </w:rPr>
        <w:t>管理混乱或者违反有关规定的，</w:t>
      </w:r>
      <w:r>
        <w:rPr>
          <w:rFonts w:hint="eastAsia" w:ascii="仿宋_GB2312" w:hAnsi="仿宋_GB2312" w:eastAsia="仿宋_GB2312" w:cs="仿宋_GB2312"/>
          <w:sz w:val="32"/>
          <w:szCs w:val="32"/>
        </w:rPr>
        <w:t>县级农业机械化管理部门</w:t>
      </w:r>
      <w:r>
        <w:rPr>
          <w:rFonts w:hint="eastAsia" w:ascii="仿宋_GB2312" w:hAnsi="仿宋_GB2312" w:eastAsia="仿宋_GB2312" w:cs="仿宋_GB2312"/>
          <w:spacing w:val="-2"/>
          <w:sz w:val="32"/>
          <w:szCs w:val="32"/>
        </w:rPr>
        <w:t>可以责令经营单位整改并提交自查整改报告。</w:t>
      </w:r>
    </w:p>
    <w:p>
      <w:pPr>
        <w:ind w:firstLine="640" w:firstLineChars="200"/>
        <w:jc w:val="left"/>
        <w:rPr>
          <w:rFonts w:ascii="仿宋_GB2312" w:hAnsi="仿宋_GB2312" w:eastAsia="仿宋_GB2312" w:cs="仿宋_GB2312"/>
          <w:spacing w:val="-2"/>
          <w:sz w:val="32"/>
          <w:szCs w:val="32"/>
        </w:rPr>
      </w:pPr>
      <w:r>
        <w:rPr>
          <w:rFonts w:hint="eastAsia" w:ascii="楷体" w:hAnsi="楷体" w:eastAsia="楷体" w:cs="楷体"/>
          <w:bCs/>
          <w:sz w:val="32"/>
          <w:szCs w:val="32"/>
        </w:rPr>
        <w:t>（六）继续开展变型拖拉机治理工作</w:t>
      </w:r>
      <w:r>
        <w:rPr>
          <w:rFonts w:hint="eastAsia" w:ascii="楷体" w:hAnsi="楷体" w:eastAsia="楷体" w:cs="宋体"/>
          <w:b/>
          <w:bCs/>
          <w:color w:val="333333"/>
          <w:kern w:val="0"/>
          <w:sz w:val="32"/>
          <w:szCs w:val="32"/>
        </w:rPr>
        <w:t>。</w:t>
      </w:r>
      <w:r>
        <w:rPr>
          <w:rFonts w:hint="eastAsia" w:ascii="仿宋_GB2312" w:hAnsi="仿宋_GB2312" w:eastAsia="仿宋_GB2312" w:cs="仿宋_GB2312"/>
          <w:spacing w:val="-2"/>
          <w:sz w:val="32"/>
          <w:szCs w:val="32"/>
        </w:rPr>
        <w:t>按照“杜绝增量、减少存量、综合整治、限期淘汰”的工作总要求，加强变型拖拉机的整治工作，坚决杜绝为变型拖拉机开展注册登记业务。对于已经注册登记的变型拖拉机要根据相关法律法规的规定严格管理，限期淘汰。</w:t>
      </w:r>
    </w:p>
    <w:p>
      <w:pPr>
        <w:tabs>
          <w:tab w:val="left" w:pos="957"/>
        </w:tabs>
        <w:ind w:firstLine="640" w:firstLineChars="200"/>
        <w:rPr>
          <w:rFonts w:ascii="黑体" w:hAnsi="黑体" w:eastAsia="黑体" w:cs="黑体"/>
          <w:sz w:val="32"/>
          <w:szCs w:val="32"/>
        </w:rPr>
      </w:pPr>
      <w:r>
        <w:rPr>
          <w:rFonts w:hint="eastAsia" w:ascii="黑体" w:hAnsi="黑体" w:eastAsia="黑体" w:cs="黑体"/>
          <w:sz w:val="32"/>
          <w:szCs w:val="32"/>
        </w:rPr>
        <w:t>四、时间安排</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农机安全生产专项治理要“以安全促工作，以工作保安全”，采取分阶段梯次推进方式。</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 w:hAnsi="楷体" w:eastAsia="楷体" w:cs="楷体"/>
          <w:bCs/>
          <w:sz w:val="32"/>
          <w:szCs w:val="32"/>
        </w:rPr>
        <w:t>（一）全面攻坚治理。</w:t>
      </w:r>
      <w:r>
        <w:rPr>
          <w:rFonts w:hint="eastAsia" w:ascii="仿宋_GB2312" w:hAnsi="仿宋_GB2312" w:eastAsia="仿宋_GB2312" w:cs="仿宋_GB2312"/>
          <w:sz w:val="32"/>
          <w:szCs w:val="32"/>
        </w:rPr>
        <w:t>全省农机安全进行全面排查，针对安全生产各环节、各部位、各节点以及安全事故易发期、多发期等重要时段节点重点治理，消除安全隐患，坚决杜绝农业机械设备“带病”运行以及不履行安全生产主体责任、无视安全生产的现象发生。（2019年4月15日-4月30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 w:hAnsi="楷体" w:eastAsia="楷体" w:cs="楷体"/>
          <w:bCs/>
          <w:sz w:val="32"/>
          <w:szCs w:val="32"/>
        </w:rPr>
        <w:t>（二）全面巩固提升</w:t>
      </w:r>
      <w:r>
        <w:rPr>
          <w:rFonts w:hint="eastAsia" w:ascii="仿宋" w:hAnsi="仿宋" w:eastAsia="仿宋" w:cs="楷体"/>
          <w:b/>
          <w:bCs/>
          <w:sz w:val="32"/>
          <w:szCs w:val="32"/>
        </w:rPr>
        <w:t>。</w:t>
      </w:r>
      <w:r>
        <w:rPr>
          <w:rFonts w:hint="eastAsia" w:ascii="仿宋_GB2312" w:hAnsi="仿宋_GB2312" w:eastAsia="仿宋_GB2312" w:cs="仿宋_GB2312"/>
          <w:sz w:val="32"/>
          <w:szCs w:val="32"/>
        </w:rPr>
        <w:t>适时开展“安全生产回头看”行动，对于排查治理中存在较大问题并告知整改意见的责任主体进行复查整治，对于安全问题整改不到位、事故隐患不排除的，要予以关停整顿处理。（2019年7月1日-10月30日）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（三）反馈总结经验。</w:t>
      </w:r>
      <w:r>
        <w:rPr>
          <w:rFonts w:hint="eastAsia" w:ascii="仿宋_GB2312" w:hAnsi="仿宋_GB2312" w:eastAsia="仿宋_GB2312" w:cs="仿宋_GB2312"/>
          <w:sz w:val="32"/>
          <w:szCs w:val="32"/>
        </w:rPr>
        <w:t>县级农机主管部门要将安全生产专项治理的阶段性工作情况，分别于2019年5月10日和11月1日前报省农机局。</w:t>
      </w:r>
    </w:p>
    <w:p>
      <w:pPr>
        <w:ind w:firstLine="640" w:firstLineChars="200"/>
        <w:rPr>
          <w:rFonts w:ascii="仿宋_GB2312" w:hAnsi="仿宋_GB2312" w:eastAsia="仿宋_GB2312" w:cs="仿宋_GB2312"/>
          <w:sz w:val="32"/>
          <w:szCs w:val="32"/>
        </w:rPr>
      </w:pPr>
      <w:r>
        <w:rPr>
          <w:rFonts w:hint="eastAsia" w:ascii="黑体" w:hAnsi="黑体" w:eastAsia="黑体"/>
          <w:color w:val="000000"/>
          <w:sz w:val="32"/>
          <w:szCs w:val="32"/>
        </w:rPr>
        <w:t>五、</w:t>
      </w:r>
      <w:r>
        <w:rPr>
          <w:rFonts w:ascii="黑体" w:hAnsi="黑体" w:eastAsia="黑体"/>
          <w:color w:val="000000"/>
          <w:sz w:val="32"/>
          <w:szCs w:val="32"/>
        </w:rPr>
        <w:t>督导检查</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省农业农村厅将派出督导工作组对各地工作情况进行督查。督导检查采取听取汇报、现场检查等方式开展。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仿宋_GB2312" w:hAnsi="仿宋_GB2312" w:eastAsia="仿宋_GB2312" w:cs="仿宋_GB2312"/>
          <w:b/>
          <w:sz w:val="32"/>
          <w:szCs w:val="32"/>
        </w:rPr>
        <w:t>　（一）检查方式。</w:t>
      </w:r>
      <w:r>
        <w:rPr>
          <w:rFonts w:hint="eastAsia" w:ascii="仿宋_GB2312" w:hAnsi="仿宋_GB2312" w:eastAsia="仿宋_GB2312" w:cs="仿宋_GB2312"/>
          <w:sz w:val="32"/>
          <w:szCs w:val="32"/>
        </w:rPr>
        <w:t>督导组统一听取市（州）农委和辖区所有县级农机管理部门汇报，按附件2所列内容逐条核查安全生产工作开展情况；在市（州）选取1-2个县（市、区），每个县（市、区）选取1-2个维修网点、1-2个农机大户现场检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仿宋_GB2312" w:hAnsi="仿宋_GB2312" w:eastAsia="仿宋_GB2312" w:cs="仿宋_GB2312"/>
          <w:b/>
          <w:sz w:val="32"/>
          <w:szCs w:val="32"/>
        </w:rPr>
        <w:t>（二）督导时间</w:t>
      </w:r>
      <w:r>
        <w:rPr>
          <w:rFonts w:hint="eastAsia" w:ascii="仿宋_GB2312" w:hAnsi="仿宋_GB2312" w:eastAsia="仿宋_GB2312" w:cs="仿宋_GB2312"/>
          <w:sz w:val="32"/>
          <w:szCs w:val="32"/>
        </w:rPr>
        <w:t>。2019年4月1</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—5月10日。各督导组检查时间由督导组与相关市（州）农业农村商洽。</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w:t>
      </w:r>
      <w:r>
        <w:rPr>
          <w:rFonts w:hint="eastAsia" w:ascii="仿宋_GB2312" w:hAnsi="仿宋_GB2312" w:eastAsia="仿宋_GB2312" w:cs="仿宋_GB2312"/>
          <w:b/>
          <w:sz w:val="32"/>
          <w:szCs w:val="32"/>
        </w:rPr>
        <w:t>（三）督导检查人员与分工</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督导一组：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组</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长：张永林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员：郑建东、徐</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莉</w:t>
      </w:r>
      <w:r>
        <w:rPr>
          <w:rFonts w:hint="eastAsia" w:ascii="仿宋_GB2312" w:hAnsi="仿宋_GB2312" w:eastAsia="仿宋_GB2312" w:cs="仿宋_GB2312"/>
          <w:sz w:val="32"/>
          <w:szCs w:val="32"/>
          <w:lang w:eastAsia="zh-CN"/>
        </w:rPr>
        <w:t>、刘</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浩</w:t>
      </w:r>
      <w:r>
        <w:rPr>
          <w:rFonts w:hint="eastAsia" w:ascii="仿宋_GB2312" w:hAnsi="仿宋_GB2312" w:eastAsia="仿宋_GB2312" w:cs="仿宋_GB2312"/>
          <w:sz w:val="32"/>
          <w:szCs w:val="32"/>
          <w:lang w:val="en-US" w:eastAsia="zh-CN"/>
        </w:rPr>
        <w:t>(18604314698)</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负责区域：吉林市、延边州、辽源市、梅河口市</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督导二组：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组 长：</w:t>
      </w:r>
      <w:r>
        <w:rPr>
          <w:rFonts w:hint="eastAsia" w:ascii="仿宋_GB2312" w:hAnsi="仿宋_GB2312" w:eastAsia="仿宋_GB2312" w:cs="仿宋_GB2312"/>
          <w:sz w:val="32"/>
          <w:szCs w:val="32"/>
          <w:lang w:eastAsia="zh-CN"/>
        </w:rPr>
        <w:t>丁长顺</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成 员：赵俊杰</w:t>
      </w:r>
      <w:r>
        <w:rPr>
          <w:rFonts w:hint="eastAsia" w:ascii="仿宋_GB2312" w:hAnsi="仿宋_GB2312" w:eastAsia="仿宋_GB2312" w:cs="仿宋_GB2312"/>
          <w:sz w:val="32"/>
          <w:szCs w:val="32"/>
          <w:lang w:eastAsia="zh-CN"/>
        </w:rPr>
        <w:t>、薛</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宁（</w:t>
      </w:r>
      <w:r>
        <w:rPr>
          <w:rFonts w:hint="eastAsia" w:ascii="仿宋_GB2312" w:hAnsi="仿宋_GB2312" w:eastAsia="仿宋_GB2312" w:cs="仿宋_GB2312"/>
          <w:sz w:val="32"/>
          <w:szCs w:val="32"/>
          <w:lang w:val="en-US" w:eastAsia="zh-CN"/>
        </w:rPr>
        <w:t>15948373942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负责区域：松原市、白城市、四平市、公主岭市</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督导三组：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组 长：钟</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锋　</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组 员：</w:t>
      </w:r>
      <w:r>
        <w:rPr>
          <w:rFonts w:hint="eastAsia" w:ascii="仿宋_GB2312" w:hAnsi="仿宋_GB2312" w:eastAsia="仿宋_GB2312" w:cs="仿宋_GB2312"/>
          <w:sz w:val="32"/>
          <w:szCs w:val="32"/>
          <w:lang w:eastAsia="zh-CN"/>
        </w:rPr>
        <w:t>王</w:t>
      </w:r>
      <w:r>
        <w:rPr>
          <w:rFonts w:hint="eastAsia" w:ascii="仿宋_GB2312" w:hAnsi="仿宋_GB2312" w:eastAsia="仿宋_GB2312" w:cs="仿宋_GB2312"/>
          <w:sz w:val="32"/>
          <w:szCs w:val="32"/>
        </w:rPr>
        <w:t>安成</w:t>
      </w:r>
      <w:r>
        <w:rPr>
          <w:rFonts w:hint="eastAsia" w:ascii="仿宋_GB2312" w:hAnsi="仿宋_GB2312" w:eastAsia="仿宋_GB2312" w:cs="仿宋_GB2312"/>
          <w:sz w:val="32"/>
          <w:szCs w:val="32"/>
          <w:lang w:eastAsia="zh-CN"/>
        </w:rPr>
        <w:t>、李</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秋（</w:t>
      </w:r>
      <w:r>
        <w:rPr>
          <w:rFonts w:hint="eastAsia" w:ascii="仿宋_GB2312" w:hAnsi="仿宋_GB2312" w:eastAsia="仿宋_GB2312" w:cs="仿宋_GB2312"/>
          <w:sz w:val="32"/>
          <w:szCs w:val="32"/>
          <w:lang w:val="en-US" w:eastAsia="zh-CN"/>
        </w:rPr>
        <w:t>13086807123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　　负责区域：长春市、通化市、白山市</w:t>
      </w:r>
    </w:p>
    <w:p>
      <w:pPr>
        <w:ind w:firstLine="640" w:firstLineChars="200"/>
        <w:rPr>
          <w:rFonts w:ascii="仿宋_GB2312" w:hAnsi="仿宋_GB2312" w:eastAsia="仿宋_GB2312" w:cs="仿宋_GB2312"/>
          <w:sz w:val="32"/>
          <w:szCs w:val="32"/>
        </w:rPr>
      </w:pPr>
      <w:r>
        <w:rPr>
          <w:rFonts w:hint="eastAsia" w:ascii="黑体" w:hAnsi="黑体" w:eastAsia="黑体" w:cs="黑体"/>
          <w:sz w:val="32"/>
          <w:szCs w:val="32"/>
        </w:rPr>
        <w:t>六、保证措施</w:t>
      </w:r>
      <w:r>
        <w:rPr>
          <w:rFonts w:hint="eastAsia" w:ascii="黑体" w:hAnsi="黑体" w:eastAsia="黑体" w:cs="黑体"/>
          <w:sz w:val="32"/>
          <w:szCs w:val="32"/>
        </w:rPr>
        <w:br w:type="textWrapping"/>
      </w:r>
      <w:r>
        <w:rPr>
          <w:rFonts w:hint="eastAsia" w:ascii="仿宋_GB2312" w:hAnsi="仿宋_GB2312" w:eastAsia="仿宋_GB2312" w:cs="仿宋_GB2312"/>
          <w:sz w:val="32"/>
          <w:szCs w:val="32"/>
        </w:rPr>
        <w:t xml:space="preserve">    县级农机主管部门要结合当地和本行业领域特点，制定详细的工作措施，切实做好农机安全生产专项治理工作。</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（一）强化组织，落实责任。</w:t>
      </w:r>
      <w:r>
        <w:rPr>
          <w:rFonts w:hint="eastAsia" w:ascii="仿宋_GB2312" w:hAnsi="仿宋_GB2312" w:eastAsia="仿宋_GB2312" w:cs="仿宋_GB2312"/>
          <w:sz w:val="32"/>
          <w:szCs w:val="32"/>
        </w:rPr>
        <w:t>县级农机主管部门要按照“管行业必须管安全、管生产必须管安全和管业务必须管安全”以及“一岗双责”的要求，强化行业主管部门安全生产责任落实，加强领导，认真组织，明确任务，落实责任，使专项治理各项要求都得到有效落实。</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（二）密切协作，形成合力。</w:t>
      </w:r>
      <w:r>
        <w:rPr>
          <w:rFonts w:hint="eastAsia" w:ascii="仿宋_GB2312" w:hAnsi="仿宋_GB2312" w:eastAsia="仿宋_GB2312" w:cs="仿宋_GB2312"/>
          <w:sz w:val="32"/>
          <w:szCs w:val="32"/>
        </w:rPr>
        <w:t>县级农机主管部门要按照“谁主管、谁负责”的原则，切实发挥监管职能，做好督导检查，推动安全生产专项治理有效开展。</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（三）突出重点，强化督导</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县级农机主管部门要发挥在安全生产中的监督管理作用，把重点放在指导、督促企业主体责任落实上，注重发现带有普遍性、倾向性问题，组织相关部门集中办理、现场解决，要以“严、准、细、实”的工作作风，深入一线，强化检查督导。</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rPr>
        <w:t>（四）建立机制，平稳发展</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 xml:space="preserve">确保安全生产保持稳步发展态势，必须坚持深化安全生产主体责任落实，要把实现安全生产标准化，建立隐患排查治理长效机制作为履行主体责任的根本任务，促进安全生产规范管理，自觉落实责任，实现安全生产持续稳定。                 </w:t>
      </w:r>
    </w:p>
    <w:p>
      <w:pPr>
        <w:ind w:firstLine="640" w:firstLineChars="200"/>
        <w:rPr>
          <w:rFonts w:ascii="仿宋_GB2312" w:hAnsi="仿宋_GB2312" w:eastAsia="仿宋_GB2312" w:cs="仿宋_GB2312"/>
          <w:sz w:val="32"/>
          <w:szCs w:val="32"/>
        </w:rPr>
      </w:pPr>
      <w:r>
        <w:rPr>
          <w:rFonts w:hint="eastAsia" w:ascii="楷体_GB2312" w:hAnsi="楷体_GB2312" w:eastAsia="楷体_GB2312" w:cs="楷体_GB2312"/>
          <w:sz w:val="32"/>
          <w:szCs w:val="32"/>
        </w:rPr>
        <w:t>（五）广泛宣传，营造氛围</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县级农机主管部门要充分发挥媒体作用，利用多种渠道对安全生产专项治理进行广泛宣传发动，积极营造舆论氛围，同时，利用各种媒体，加大对农机相关法律法规，安全操作、安全使用等相关知识宣传。</w:t>
      </w:r>
    </w:p>
    <w:p>
      <w:pPr>
        <w:ind w:firstLine="640" w:firstLineChars="200"/>
        <w:rPr>
          <w:rFonts w:ascii="仿宋" w:hAnsi="仿宋" w:eastAsia="仿宋" w:cs="仿宋_GB2312"/>
          <w:sz w:val="32"/>
          <w:szCs w:val="32"/>
        </w:rPr>
      </w:pPr>
    </w:p>
    <w:p>
      <w:pPr>
        <w:ind w:firstLine="640" w:firstLineChars="200"/>
        <w:rPr>
          <w:rFonts w:ascii="仿宋_GB2312" w:hAnsi="仿宋_GB2312" w:eastAsia="仿宋_GB2312" w:cs="仿宋_GB2312"/>
          <w:bCs/>
          <w:color w:val="000000"/>
          <w:kern w:val="0"/>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rPr>
        <w:t>： 1.</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Cs/>
          <w:color w:val="000000"/>
          <w:kern w:val="0"/>
          <w:sz w:val="32"/>
          <w:szCs w:val="32"/>
        </w:rPr>
        <w:t>县(市、区）农机维修情况调查统计表</w:t>
      </w:r>
    </w:p>
    <w:p>
      <w:pPr>
        <w:ind w:firstLine="1760" w:firstLineChars="550"/>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2.</w:t>
      </w:r>
      <w:r>
        <w:rPr>
          <w:rFonts w:hint="eastAsia" w:ascii="仿宋_GB2312" w:hAnsi="仿宋_GB2312" w:eastAsia="仿宋_GB2312" w:cs="仿宋_GB2312"/>
          <w:bCs/>
          <w:sz w:val="32"/>
          <w:szCs w:val="32"/>
        </w:rPr>
        <w:t xml:space="preserve"> 安全生产督导检查表</w:t>
      </w:r>
    </w:p>
    <w:p>
      <w:pPr>
        <w:adjustRightInd w:val="0"/>
        <w:spacing w:line="360" w:lineRule="auto"/>
        <w:ind w:firstLine="1760" w:firstLineChars="550"/>
        <w:rPr>
          <w:rFonts w:ascii="仿宋_GB2312" w:hAnsi="仿宋_GB2312" w:eastAsia="仿宋_GB2312" w:cs="仿宋_GB2312"/>
          <w:bCs/>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bCs/>
          <w:sz w:val="32"/>
          <w:szCs w:val="32"/>
        </w:rPr>
        <w:t xml:space="preserve"> 农机安全生产专项检查记录表</w:t>
      </w:r>
    </w:p>
    <w:p>
      <w:pPr>
        <w:ind w:firstLine="640" w:firstLineChars="200"/>
        <w:rPr>
          <w:rFonts w:ascii="仿宋" w:hAnsi="仿宋" w:eastAsia="仿宋"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 </w:t>
      </w:r>
    </w:p>
    <w:p>
      <w:pPr>
        <w:spacing w:line="384" w:lineRule="atLeast"/>
        <w:ind w:firstLine="4480" w:firstLineChars="1400"/>
        <w:rPr>
          <w:rFonts w:ascii="仿宋_GB2312" w:hAnsi="宋体" w:eastAsia="仿宋_GB2312"/>
          <w:sz w:val="32"/>
          <w:szCs w:val="32"/>
        </w:rPr>
      </w:pPr>
      <w:r>
        <w:rPr>
          <w:rFonts w:hint="eastAsia" w:ascii="仿宋_GB2312" w:hAnsi="仿宋_GB2312" w:eastAsia="仿宋_GB2312" w:cs="仿宋_GB2312"/>
          <w:sz w:val="32"/>
          <w:szCs w:val="32"/>
        </w:rPr>
        <w:t xml:space="preserve">                          </w:t>
      </w: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ind w:firstLine="4480" w:firstLineChars="1400"/>
        <w:rPr>
          <w:rFonts w:ascii="仿宋_GB2312" w:hAnsi="宋体" w:eastAsia="仿宋_GB2312"/>
          <w:sz w:val="32"/>
          <w:szCs w:val="32"/>
        </w:rPr>
      </w:pPr>
    </w:p>
    <w:p>
      <w:pPr>
        <w:spacing w:line="384" w:lineRule="atLeast"/>
        <w:rPr>
          <w:rFonts w:ascii="仿宋_GB2312" w:hAnsi="宋体" w:eastAsia="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附</w:t>
      </w:r>
      <w:r>
        <w:rPr>
          <w:rFonts w:hint="eastAsia" w:ascii="仿宋_GB2312" w:hAnsi="仿宋_GB2312" w:eastAsia="仿宋_GB2312" w:cs="仿宋_GB2312"/>
          <w:sz w:val="32"/>
          <w:szCs w:val="32"/>
          <w:lang w:eastAsia="zh-CN"/>
        </w:rPr>
        <w:t>表</w:t>
      </w:r>
      <w:r>
        <w:rPr>
          <w:rFonts w:ascii="仿宋_GB2312" w:hAnsi="仿宋_GB2312" w:eastAsia="仿宋_GB2312" w:cs="仿宋_GB2312"/>
          <w:sz w:val="32"/>
          <w:szCs w:val="32"/>
        </w:rPr>
        <w:t>1</w:t>
      </w:r>
    </w:p>
    <w:p>
      <w:pPr>
        <w:widowControl/>
        <w:snapToGrid w:val="0"/>
        <w:jc w:val="center"/>
        <w:rPr>
          <w:rFonts w:ascii="黑体" w:hAnsi="Arial" w:eastAsia="黑体"/>
          <w:b/>
          <w:bCs/>
          <w:color w:val="000000"/>
          <w:kern w:val="0"/>
          <w:sz w:val="28"/>
          <w:szCs w:val="28"/>
        </w:rPr>
      </w:pPr>
      <w:r>
        <w:rPr>
          <w:rFonts w:hint="eastAsia" w:ascii="黑体" w:hAnsi="Arial" w:eastAsia="黑体" w:cs="黑体"/>
          <w:b/>
          <w:bCs/>
          <w:color w:val="000000"/>
          <w:kern w:val="0"/>
          <w:sz w:val="28"/>
          <w:szCs w:val="28"/>
        </w:rPr>
        <w:t>县</w:t>
      </w:r>
      <w:r>
        <w:rPr>
          <w:rFonts w:ascii="黑体" w:hAnsi="Arial" w:eastAsia="黑体" w:cs="黑体"/>
          <w:b/>
          <w:bCs/>
          <w:color w:val="000000"/>
          <w:kern w:val="0"/>
          <w:sz w:val="28"/>
          <w:szCs w:val="28"/>
        </w:rPr>
        <w:t>(</w:t>
      </w:r>
      <w:r>
        <w:rPr>
          <w:rFonts w:hint="eastAsia" w:ascii="黑体" w:hAnsi="Arial" w:eastAsia="黑体" w:cs="黑体"/>
          <w:b/>
          <w:bCs/>
          <w:color w:val="000000"/>
          <w:kern w:val="0"/>
          <w:sz w:val="28"/>
          <w:szCs w:val="28"/>
        </w:rPr>
        <w:t>市、区）农机维修情况调查统计表</w:t>
      </w:r>
    </w:p>
    <w:p>
      <w:pPr>
        <w:spacing w:line="360" w:lineRule="auto"/>
        <w:rPr>
          <w:rFonts w:ascii="宋体" w:cs="宋体"/>
          <w:b/>
          <w:bCs/>
          <w:sz w:val="24"/>
        </w:rPr>
      </w:pPr>
      <w:r>
        <w:rPr>
          <w:rFonts w:hint="eastAsia" w:ascii="Arial" w:hAnsi="Arial" w:cs="宋体"/>
          <w:color w:val="000000"/>
          <w:kern w:val="0"/>
        </w:rPr>
        <w:t>填表人：联系电话：</w:t>
      </w:r>
      <w:r>
        <w:rPr>
          <w:rFonts w:hint="eastAsia" w:ascii="Arial" w:hAnsi="Arial" w:cs="宋体"/>
          <w:color w:val="000000"/>
          <w:kern w:val="0"/>
          <w:lang w:val="en-US" w:eastAsia="zh-CN"/>
        </w:rPr>
        <w:t xml:space="preserve">                                     </w:t>
      </w:r>
      <w:r>
        <w:rPr>
          <w:rFonts w:hint="eastAsia" w:ascii="宋体" w:hAnsi="宋体" w:cs="宋体"/>
          <w:bCs/>
          <w:sz w:val="24"/>
        </w:rPr>
        <w:t>填表时间：</w:t>
      </w:r>
      <w:r>
        <w:rPr>
          <w:rFonts w:hint="eastAsia" w:ascii="宋体" w:hAnsi="宋体" w:cs="宋体"/>
          <w:bCs/>
          <w:sz w:val="24"/>
          <w:lang w:val="en-US" w:eastAsia="zh-CN"/>
        </w:rPr>
        <w:t xml:space="preserve">   </w:t>
      </w:r>
      <w:r>
        <w:rPr>
          <w:rFonts w:hint="eastAsia" w:ascii="宋体" w:hAnsi="宋体" w:cs="宋体"/>
          <w:bCs/>
          <w:sz w:val="24"/>
        </w:rPr>
        <w:t>年</w:t>
      </w:r>
      <w:r>
        <w:rPr>
          <w:rFonts w:hint="eastAsia" w:ascii="宋体" w:hAnsi="宋体" w:cs="宋体"/>
          <w:bCs/>
          <w:sz w:val="24"/>
          <w:lang w:val="en-US" w:eastAsia="zh-CN"/>
        </w:rPr>
        <w:t xml:space="preserve"> </w:t>
      </w:r>
      <w:r>
        <w:rPr>
          <w:rFonts w:hint="eastAsia" w:ascii="宋体" w:hAnsi="宋体" w:cs="宋体"/>
          <w:bCs/>
          <w:sz w:val="24"/>
        </w:rPr>
        <w:t>月</w:t>
      </w:r>
      <w:r>
        <w:rPr>
          <w:rFonts w:hint="eastAsia" w:ascii="宋体" w:hAnsi="宋体" w:cs="宋体"/>
          <w:bCs/>
          <w:sz w:val="24"/>
          <w:lang w:val="en-US" w:eastAsia="zh-CN"/>
        </w:rPr>
        <w:t xml:space="preserve">  </w:t>
      </w:r>
      <w:r>
        <w:rPr>
          <w:rFonts w:hint="eastAsia" w:ascii="宋体" w:hAnsi="宋体" w:cs="宋体"/>
          <w:bCs/>
          <w:sz w:val="24"/>
        </w:rPr>
        <w:t>日</w:t>
      </w:r>
    </w:p>
    <w:tbl>
      <w:tblPr>
        <w:tblStyle w:val="7"/>
        <w:tblW w:w="9413"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57"/>
        <w:gridCol w:w="2093"/>
        <w:gridCol w:w="726"/>
        <w:gridCol w:w="1628"/>
        <w:gridCol w:w="2691"/>
        <w:gridCol w:w="1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restart"/>
            <w:vAlign w:val="center"/>
          </w:tcPr>
          <w:p>
            <w:pPr>
              <w:jc w:val="center"/>
              <w:rPr>
                <w:rFonts w:ascii="宋体"/>
                <w:sz w:val="20"/>
                <w:szCs w:val="20"/>
              </w:rPr>
            </w:pPr>
            <w:r>
              <w:rPr>
                <w:rFonts w:hint="eastAsia" w:ascii="宋体" w:hAnsi="宋体"/>
                <w:sz w:val="20"/>
                <w:szCs w:val="20"/>
              </w:rPr>
              <w:t>农机维修管理机构及工作情况</w:t>
            </w:r>
          </w:p>
        </w:tc>
        <w:tc>
          <w:tcPr>
            <w:tcW w:w="2819" w:type="dxa"/>
            <w:gridSpan w:val="2"/>
            <w:vAlign w:val="center"/>
          </w:tcPr>
          <w:p>
            <w:pPr>
              <w:rPr>
                <w:rFonts w:ascii="宋体"/>
                <w:sz w:val="20"/>
                <w:szCs w:val="20"/>
              </w:rPr>
            </w:pPr>
            <w:r>
              <w:rPr>
                <w:rFonts w:hint="eastAsia" w:ascii="宋体" w:hAnsi="宋体" w:cs="宋体"/>
                <w:kern w:val="0"/>
                <w:sz w:val="20"/>
                <w:szCs w:val="20"/>
              </w:rPr>
              <w:t>农机维修管理机构</w:t>
            </w:r>
          </w:p>
        </w:tc>
        <w:tc>
          <w:tcPr>
            <w:tcW w:w="5937" w:type="dxa"/>
            <w:gridSpan w:val="3"/>
            <w:vAlign w:val="center"/>
          </w:tcPr>
          <w:p>
            <w:pPr>
              <w:rPr>
                <w:rFonts w:ascii="宋体"/>
                <w:sz w:val="20"/>
                <w:szCs w:val="20"/>
              </w:rPr>
            </w:pPr>
            <w:r>
              <w:rPr>
                <w:rFonts w:hint="eastAsia" w:ascii="宋体" w:hAnsi="宋体"/>
                <w:sz w:val="20"/>
                <w:szCs w:val="20"/>
              </w:rPr>
              <w:t>主管领导（职务）：电话：负责部门：</w:t>
            </w:r>
          </w:p>
          <w:p>
            <w:pPr>
              <w:rPr>
                <w:rFonts w:ascii="宋体"/>
                <w:sz w:val="20"/>
                <w:szCs w:val="20"/>
              </w:rPr>
            </w:pPr>
            <w:r>
              <w:rPr>
                <w:rFonts w:hint="eastAsia" w:ascii="宋体" w:hAnsi="宋体"/>
                <w:sz w:val="20"/>
                <w:szCs w:val="20"/>
              </w:rPr>
              <w:t>联系人（职务）：电话：邮箱：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kern w:val="0"/>
                <w:sz w:val="20"/>
                <w:szCs w:val="20"/>
              </w:rPr>
            </w:pPr>
            <w:r>
              <w:rPr>
                <w:rFonts w:hint="eastAsia" w:ascii="宋体" w:hAnsi="宋体" w:cs="宋体"/>
                <w:kern w:val="0"/>
                <w:sz w:val="20"/>
                <w:szCs w:val="20"/>
              </w:rPr>
              <w:t>近年开展的农机维修管理工作内容</w:t>
            </w:r>
          </w:p>
        </w:tc>
        <w:tc>
          <w:tcPr>
            <w:tcW w:w="5937" w:type="dxa"/>
            <w:gridSpan w:val="3"/>
            <w:vAlign w:val="center"/>
          </w:tcPr>
          <w:p>
            <w:pPr>
              <w:rPr>
                <w:rFonts w:ascii="宋体"/>
                <w:sz w:val="20"/>
                <w:szCs w:val="20"/>
              </w:rPr>
            </w:pPr>
            <w:r>
              <w:rPr>
                <w:rFonts w:hint="eastAsia" w:ascii="宋体" w:hAnsi="宋体" w:cs="宋体"/>
                <w:color w:val="000000"/>
                <w:kern w:val="0"/>
                <w:sz w:val="20"/>
                <w:szCs w:val="20"/>
              </w:rPr>
              <w:t>□维修网点及人员调研摸底□农机维修质量监管□区域维修中心建设□其他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ind w:left="-105" w:leftChars="-50" w:right="-105" w:rightChars="-50"/>
              <w:jc w:val="center"/>
              <w:rPr>
                <w:rFonts w:ascii="宋体" w:cs="宋体"/>
                <w:kern w:val="0"/>
                <w:sz w:val="20"/>
                <w:szCs w:val="20"/>
              </w:rPr>
            </w:pPr>
            <w:r>
              <w:rPr>
                <w:rFonts w:hint="eastAsia" w:ascii="宋体" w:hAnsi="宋体" w:cs="宋体"/>
                <w:kern w:val="0"/>
                <w:sz w:val="20"/>
                <w:szCs w:val="20"/>
              </w:rPr>
              <w:t>农机维修管理工作经费需求</w:t>
            </w:r>
          </w:p>
        </w:tc>
        <w:tc>
          <w:tcPr>
            <w:tcW w:w="1628" w:type="dxa"/>
            <w:vAlign w:val="center"/>
          </w:tcPr>
          <w:p>
            <w:pPr>
              <w:ind w:firstLine="1000" w:firstLineChars="500"/>
              <w:rPr>
                <w:rFonts w:ascii="宋体"/>
                <w:sz w:val="20"/>
                <w:szCs w:val="20"/>
              </w:rPr>
            </w:pPr>
            <w:r>
              <w:rPr>
                <w:rFonts w:hint="eastAsia" w:ascii="宋体" w:hAnsi="宋体"/>
                <w:sz w:val="20"/>
                <w:szCs w:val="20"/>
              </w:rPr>
              <w:t>万元</w:t>
            </w:r>
          </w:p>
        </w:tc>
        <w:tc>
          <w:tcPr>
            <w:tcW w:w="2691" w:type="dxa"/>
            <w:vAlign w:val="center"/>
          </w:tcPr>
          <w:p>
            <w:pPr>
              <w:widowControl/>
              <w:spacing w:before="100" w:beforeAutospacing="1" w:after="100" w:afterAutospacing="1"/>
              <w:ind w:left="-105" w:leftChars="-50" w:right="-105" w:rightChars="-50"/>
              <w:jc w:val="center"/>
              <w:rPr>
                <w:rFonts w:ascii="宋体" w:cs="宋体"/>
                <w:kern w:val="0"/>
                <w:sz w:val="20"/>
                <w:szCs w:val="20"/>
              </w:rPr>
            </w:pPr>
            <w:r>
              <w:rPr>
                <w:rFonts w:ascii="宋体" w:hAnsi="宋体" w:cs="宋体"/>
                <w:kern w:val="0"/>
                <w:sz w:val="20"/>
                <w:szCs w:val="20"/>
              </w:rPr>
              <w:t>2017</w:t>
            </w:r>
            <w:r>
              <w:rPr>
                <w:rFonts w:hint="eastAsia" w:ascii="宋体" w:hAnsi="宋体" w:cs="宋体"/>
                <w:kern w:val="0"/>
                <w:sz w:val="20"/>
                <w:szCs w:val="20"/>
              </w:rPr>
              <w:t>年农机维修行业扶持资金</w:t>
            </w:r>
          </w:p>
        </w:tc>
        <w:tc>
          <w:tcPr>
            <w:tcW w:w="1618" w:type="dxa"/>
            <w:vAlign w:val="center"/>
          </w:tcPr>
          <w:p>
            <w:pPr>
              <w:ind w:firstLine="1000" w:firstLineChars="500"/>
              <w:rPr>
                <w:rFonts w:ascii="宋体"/>
                <w:sz w:val="20"/>
                <w:szCs w:val="20"/>
              </w:rPr>
            </w:pPr>
            <w:r>
              <w:rPr>
                <w:rFonts w:hint="eastAsia" w:ascii="宋体" w:hAnsi="宋体"/>
                <w:sz w:val="20"/>
                <w:szCs w:val="20"/>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rPr>
                <w:rFonts w:ascii="宋体" w:cs="宋体"/>
                <w:kern w:val="0"/>
                <w:sz w:val="20"/>
                <w:szCs w:val="20"/>
              </w:rPr>
            </w:pPr>
            <w:r>
              <w:rPr>
                <w:rFonts w:ascii="宋体" w:hAnsi="宋体" w:cs="宋体"/>
                <w:kern w:val="0"/>
                <w:sz w:val="20"/>
                <w:szCs w:val="20"/>
              </w:rPr>
              <w:t>201</w:t>
            </w:r>
            <w:r>
              <w:rPr>
                <w:rFonts w:hint="eastAsia" w:ascii="宋体" w:hAnsi="宋体" w:cs="宋体"/>
                <w:kern w:val="0"/>
                <w:sz w:val="20"/>
                <w:szCs w:val="20"/>
              </w:rPr>
              <w:t>8年农机维修行业扶持资金用途</w:t>
            </w:r>
          </w:p>
        </w:tc>
        <w:tc>
          <w:tcPr>
            <w:tcW w:w="5937" w:type="dxa"/>
            <w:gridSpan w:val="3"/>
            <w:vAlign w:val="center"/>
          </w:tcPr>
          <w:p>
            <w:pPr>
              <w:rPr>
                <w:rFonts w:ascii="宋体" w:cs="宋体"/>
                <w:color w:val="000000"/>
                <w:kern w:val="0"/>
                <w:sz w:val="20"/>
                <w:szCs w:val="20"/>
              </w:rPr>
            </w:pPr>
            <w:r>
              <w:rPr>
                <w:rFonts w:hint="eastAsia" w:ascii="宋体" w:hAnsi="宋体" w:cs="宋体"/>
                <w:color w:val="000000"/>
                <w:kern w:val="0"/>
                <w:sz w:val="20"/>
                <w:szCs w:val="20"/>
              </w:rPr>
              <w:t>□维修设备购置□维修车间建设□维修人员培训</w:t>
            </w:r>
          </w:p>
          <w:p>
            <w:pPr>
              <w:rPr>
                <w:rFonts w:ascii="宋体" w:cs="宋体"/>
                <w:color w:val="000000"/>
                <w:kern w:val="0"/>
                <w:sz w:val="20"/>
                <w:szCs w:val="20"/>
              </w:rPr>
            </w:pPr>
            <w:r>
              <w:rPr>
                <w:rFonts w:hint="eastAsia" w:ascii="宋体" w:hAnsi="宋体" w:cs="宋体"/>
                <w:color w:val="000000"/>
                <w:kern w:val="0"/>
                <w:sz w:val="20"/>
                <w:szCs w:val="20"/>
              </w:rPr>
              <w:t>□基础用地补贴□运营税费优惠□其他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color w:val="000000"/>
                <w:kern w:val="0"/>
                <w:sz w:val="20"/>
                <w:szCs w:val="20"/>
              </w:rPr>
            </w:pPr>
            <w:r>
              <w:rPr>
                <w:rFonts w:hint="eastAsia" w:ascii="宋体" w:hAnsi="宋体" w:cs="宋体"/>
                <w:color w:val="000000"/>
                <w:kern w:val="0"/>
                <w:sz w:val="20"/>
                <w:szCs w:val="20"/>
              </w:rPr>
              <w:t>依《规定》</w:t>
            </w:r>
            <w:r>
              <w:rPr>
                <w:rFonts w:ascii="宋体" w:hAnsi="宋体" w:cs="宋体"/>
                <w:color w:val="000000"/>
                <w:kern w:val="0"/>
                <w:sz w:val="20"/>
                <w:szCs w:val="20"/>
                <w:vertAlign w:val="superscript"/>
              </w:rPr>
              <w:fldChar w:fldCharType="begin"/>
            </w:r>
            <w:r>
              <w:rPr>
                <w:rFonts w:ascii="宋体" w:hAnsi="宋体" w:cs="宋体"/>
                <w:color w:val="000000"/>
                <w:kern w:val="0"/>
                <w:sz w:val="20"/>
                <w:szCs w:val="20"/>
                <w:vertAlign w:val="superscript"/>
              </w:rPr>
              <w:instrText xml:space="preserve">= 1 \* GB3</w:instrText>
            </w:r>
            <w:r>
              <w:rPr>
                <w:rFonts w:ascii="宋体" w:hAnsi="宋体" w:cs="宋体"/>
                <w:color w:val="000000"/>
                <w:kern w:val="0"/>
                <w:sz w:val="20"/>
                <w:szCs w:val="20"/>
                <w:vertAlign w:val="superscript"/>
              </w:rPr>
              <w:fldChar w:fldCharType="separate"/>
            </w:r>
            <w:r>
              <w:rPr>
                <w:rFonts w:hint="eastAsia" w:ascii="宋体" w:hAnsi="宋体" w:cs="宋体"/>
                <w:color w:val="000000"/>
                <w:kern w:val="0"/>
                <w:sz w:val="20"/>
                <w:szCs w:val="20"/>
                <w:vertAlign w:val="superscript"/>
              </w:rPr>
              <w:t>①</w:t>
            </w:r>
            <w:r>
              <w:rPr>
                <w:rFonts w:ascii="宋体" w:hAnsi="宋体" w:cs="宋体"/>
                <w:color w:val="000000"/>
                <w:kern w:val="0"/>
                <w:sz w:val="20"/>
                <w:szCs w:val="20"/>
                <w:vertAlign w:val="superscript"/>
              </w:rPr>
              <w:fldChar w:fldCharType="end"/>
            </w:r>
            <w:r>
              <w:rPr>
                <w:rFonts w:hint="eastAsia" w:ascii="宋体" w:hAnsi="宋体" w:cs="宋体"/>
                <w:color w:val="000000"/>
                <w:kern w:val="0"/>
                <w:sz w:val="20"/>
                <w:szCs w:val="20"/>
              </w:rPr>
              <w:t>制定规章制度</w:t>
            </w:r>
          </w:p>
        </w:tc>
        <w:tc>
          <w:tcPr>
            <w:tcW w:w="5937" w:type="dxa"/>
            <w:gridSpan w:val="3"/>
            <w:vAlign w:val="center"/>
          </w:tcPr>
          <w:p>
            <w:pPr>
              <w:rPr>
                <w:rFonts w:ascii="宋体"/>
                <w:color w:val="000000"/>
                <w:sz w:val="20"/>
                <w:szCs w:val="20"/>
              </w:rPr>
            </w:pPr>
            <w:r>
              <w:rPr>
                <w:rFonts w:hint="eastAsia" w:ascii="宋体" w:hAnsi="宋体" w:cs="宋体"/>
                <w:color w:val="000000"/>
                <w:kern w:val="0"/>
                <w:sz w:val="20"/>
                <w:szCs w:val="20"/>
              </w:rPr>
              <w:t>□制定部门工作制度，数量。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color w:val="000000"/>
                <w:kern w:val="0"/>
                <w:sz w:val="20"/>
                <w:szCs w:val="20"/>
              </w:rPr>
            </w:pPr>
            <w:r>
              <w:rPr>
                <w:rFonts w:hint="eastAsia" w:ascii="宋体" w:hAnsi="宋体" w:cs="宋体"/>
                <w:color w:val="000000"/>
                <w:kern w:val="0"/>
                <w:sz w:val="20"/>
                <w:szCs w:val="20"/>
              </w:rPr>
              <w:t>与市场监督管理部门协调执法情况</w:t>
            </w:r>
          </w:p>
        </w:tc>
        <w:tc>
          <w:tcPr>
            <w:tcW w:w="5937" w:type="dxa"/>
            <w:gridSpan w:val="3"/>
            <w:vAlign w:val="center"/>
          </w:tcPr>
          <w:p>
            <w:pPr>
              <w:rPr>
                <w:rFonts w:ascii="宋体"/>
                <w:color w:val="000000"/>
                <w:sz w:val="20"/>
                <w:szCs w:val="20"/>
              </w:rPr>
            </w:pPr>
            <w:r>
              <w:rPr>
                <w:rFonts w:hint="eastAsia" w:ascii="宋体" w:hAnsi="宋体" w:cs="宋体"/>
                <w:color w:val="000000"/>
                <w:kern w:val="0"/>
                <w:sz w:val="20"/>
                <w:szCs w:val="20"/>
              </w:rPr>
              <w:t>□建立配合机制，定期联合执法；□未建立配合机制，临时沟通联合执法；□从未开展联合执法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restart"/>
            <w:vAlign w:val="center"/>
          </w:tcPr>
          <w:p>
            <w:pPr>
              <w:jc w:val="center"/>
              <w:rPr>
                <w:rFonts w:ascii="宋体"/>
                <w:sz w:val="20"/>
                <w:szCs w:val="20"/>
              </w:rPr>
            </w:pPr>
            <w:r>
              <w:rPr>
                <w:rFonts w:hint="eastAsia" w:ascii="宋体" w:hAnsi="宋体"/>
                <w:sz w:val="20"/>
                <w:szCs w:val="20"/>
              </w:rPr>
              <w:t>辖区农机化和农机维修行业统计情况</w:t>
            </w:r>
          </w:p>
        </w:tc>
        <w:tc>
          <w:tcPr>
            <w:tcW w:w="2819" w:type="dxa"/>
            <w:gridSpan w:val="2"/>
            <w:vAlign w:val="center"/>
          </w:tcPr>
          <w:p>
            <w:pPr>
              <w:rPr>
                <w:rFonts w:ascii="宋体" w:cs="宋体"/>
                <w:color w:val="000000"/>
                <w:kern w:val="0"/>
                <w:sz w:val="20"/>
                <w:szCs w:val="20"/>
              </w:rPr>
            </w:pPr>
            <w:r>
              <w:rPr>
                <w:rFonts w:hint="eastAsia" w:ascii="宋体" w:hAnsi="宋体" w:cs="宋体"/>
                <w:color w:val="000000"/>
                <w:kern w:val="0"/>
                <w:sz w:val="20"/>
                <w:szCs w:val="20"/>
              </w:rPr>
              <w:t>农机维修从业人员数（人）</w:t>
            </w:r>
          </w:p>
        </w:tc>
        <w:tc>
          <w:tcPr>
            <w:tcW w:w="5937" w:type="dxa"/>
            <w:gridSpan w:val="3"/>
            <w:vAlign w:val="center"/>
          </w:tcPr>
          <w:p>
            <w:pPr>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color w:val="000000"/>
                <w:kern w:val="0"/>
                <w:sz w:val="20"/>
                <w:szCs w:val="20"/>
              </w:rPr>
            </w:pPr>
            <w:r>
              <w:rPr>
                <w:rFonts w:hint="eastAsia" w:ascii="宋体" w:hAnsi="宋体" w:cs="宋体"/>
                <w:color w:val="000000"/>
                <w:kern w:val="0"/>
                <w:sz w:val="20"/>
                <w:szCs w:val="20"/>
              </w:rPr>
              <w:t>维修人员持等级证书人数（人）</w:t>
            </w:r>
          </w:p>
        </w:tc>
        <w:tc>
          <w:tcPr>
            <w:tcW w:w="5937" w:type="dxa"/>
            <w:gridSpan w:val="3"/>
            <w:vAlign w:val="center"/>
          </w:tcPr>
          <w:p>
            <w:pPr>
              <w:ind w:right="210"/>
              <w:rPr>
                <w:rFonts w:asci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rPr>
                <w:rFonts w:ascii="宋体"/>
                <w:sz w:val="20"/>
                <w:szCs w:val="20"/>
              </w:rPr>
            </w:pPr>
            <w:r>
              <w:rPr>
                <w:rFonts w:hint="eastAsia" w:ascii="宋体" w:hAnsi="宋体" w:cs="宋体"/>
                <w:kern w:val="0"/>
                <w:sz w:val="20"/>
                <w:szCs w:val="20"/>
              </w:rPr>
              <w:t>全年维修农机数量（台套）</w:t>
            </w:r>
          </w:p>
        </w:tc>
        <w:tc>
          <w:tcPr>
            <w:tcW w:w="5937" w:type="dxa"/>
            <w:gridSpan w:val="3"/>
            <w:vAlign w:val="center"/>
          </w:tcPr>
          <w:p>
            <w:pP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kern w:val="0"/>
                <w:sz w:val="20"/>
                <w:szCs w:val="20"/>
              </w:rPr>
            </w:pPr>
            <w:r>
              <w:rPr>
                <w:rFonts w:hint="eastAsia" w:ascii="宋体" w:hAnsi="宋体" w:cs="宋体"/>
                <w:kern w:val="0"/>
                <w:sz w:val="20"/>
                <w:szCs w:val="20"/>
              </w:rPr>
              <w:t>经工商注册维修点数量（</w:t>
            </w:r>
            <w:r>
              <w:rPr>
                <w:rFonts w:hint="eastAsia" w:ascii="宋体" w:hAnsi="宋体"/>
                <w:sz w:val="20"/>
                <w:szCs w:val="20"/>
              </w:rPr>
              <w:t>个）</w:t>
            </w:r>
          </w:p>
        </w:tc>
        <w:tc>
          <w:tcPr>
            <w:tcW w:w="5937" w:type="dxa"/>
            <w:gridSpan w:val="3"/>
            <w:vAlign w:val="center"/>
          </w:tcPr>
          <w:p>
            <w:pP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451" w:hRule="atLeast"/>
        </w:trPr>
        <w:tc>
          <w:tcPr>
            <w:tcW w:w="657" w:type="dxa"/>
            <w:vMerge w:val="continue"/>
            <w:vAlign w:val="center"/>
          </w:tcPr>
          <w:p>
            <w:pPr>
              <w:jc w:val="center"/>
              <w:rPr>
                <w:rFonts w:ascii="宋体"/>
                <w:sz w:val="20"/>
                <w:szCs w:val="20"/>
              </w:rPr>
            </w:pPr>
          </w:p>
        </w:tc>
        <w:tc>
          <w:tcPr>
            <w:tcW w:w="2819" w:type="dxa"/>
            <w:gridSpan w:val="2"/>
            <w:vAlign w:val="center"/>
          </w:tcPr>
          <w:p>
            <w:pPr>
              <w:rPr>
                <w:rFonts w:ascii="宋体"/>
                <w:color w:val="FF0000"/>
                <w:sz w:val="20"/>
                <w:szCs w:val="20"/>
              </w:rPr>
            </w:pPr>
            <w:r>
              <w:rPr>
                <w:rFonts w:hint="eastAsia" w:ascii="宋体" w:hAnsi="宋体" w:cs="宋体"/>
                <w:kern w:val="0"/>
                <w:sz w:val="20"/>
                <w:szCs w:val="20"/>
              </w:rPr>
              <w:t>上传系统</w:t>
            </w:r>
            <w:r>
              <w:rPr>
                <w:rFonts w:ascii="宋体" w:hAnsi="宋体" w:cs="宋体"/>
                <w:color w:val="000000"/>
                <w:kern w:val="0"/>
                <w:sz w:val="20"/>
                <w:szCs w:val="20"/>
                <w:vertAlign w:val="superscript"/>
              </w:rPr>
              <w:fldChar w:fldCharType="begin"/>
            </w:r>
            <w:r>
              <w:rPr>
                <w:rFonts w:ascii="宋体" w:hAnsi="宋体" w:cs="宋体"/>
                <w:color w:val="000000"/>
                <w:kern w:val="0"/>
                <w:sz w:val="20"/>
                <w:szCs w:val="20"/>
                <w:vertAlign w:val="superscript"/>
              </w:rPr>
              <w:instrText xml:space="preserve">= 2 \* GB3</w:instrText>
            </w:r>
            <w:r>
              <w:rPr>
                <w:rFonts w:ascii="宋体" w:hAnsi="宋体" w:cs="宋体"/>
                <w:color w:val="000000"/>
                <w:kern w:val="0"/>
                <w:sz w:val="20"/>
                <w:szCs w:val="20"/>
                <w:vertAlign w:val="superscript"/>
              </w:rPr>
              <w:fldChar w:fldCharType="separate"/>
            </w:r>
            <w:r>
              <w:rPr>
                <w:rFonts w:hint="eastAsia" w:ascii="宋体" w:hAnsi="宋体" w:cs="宋体"/>
                <w:color w:val="000000"/>
                <w:kern w:val="0"/>
                <w:sz w:val="20"/>
                <w:szCs w:val="20"/>
                <w:vertAlign w:val="superscript"/>
              </w:rPr>
              <w:t>②</w:t>
            </w:r>
            <w:r>
              <w:rPr>
                <w:rFonts w:ascii="宋体" w:hAnsi="宋体" w:cs="宋体"/>
                <w:color w:val="000000"/>
                <w:kern w:val="0"/>
                <w:sz w:val="20"/>
                <w:szCs w:val="20"/>
                <w:vertAlign w:val="superscript"/>
              </w:rPr>
              <w:fldChar w:fldCharType="end"/>
            </w:r>
            <w:r>
              <w:rPr>
                <w:rFonts w:hint="eastAsia" w:ascii="宋体" w:hAnsi="宋体" w:cs="宋体"/>
                <w:kern w:val="0"/>
                <w:sz w:val="20"/>
                <w:szCs w:val="20"/>
              </w:rPr>
              <w:t>的维修点数量（</w:t>
            </w:r>
            <w:r>
              <w:rPr>
                <w:rFonts w:hint="eastAsia" w:ascii="宋体" w:hAnsi="宋体"/>
                <w:sz w:val="20"/>
                <w:szCs w:val="20"/>
              </w:rPr>
              <w:t>个）</w:t>
            </w:r>
          </w:p>
        </w:tc>
        <w:tc>
          <w:tcPr>
            <w:tcW w:w="5937" w:type="dxa"/>
            <w:gridSpan w:val="3"/>
            <w:vAlign w:val="center"/>
          </w:tcPr>
          <w:p>
            <w:pPr>
              <w:rPr>
                <w:rFonts w:ascii="宋体"/>
                <w:color w:val="FF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44" w:hRule="atLeast"/>
        </w:trPr>
        <w:tc>
          <w:tcPr>
            <w:tcW w:w="657" w:type="dxa"/>
            <w:vMerge w:val="continue"/>
            <w:vAlign w:val="center"/>
          </w:tcPr>
          <w:p>
            <w:pPr>
              <w:jc w:val="center"/>
              <w:rPr>
                <w:rFonts w:ascii="宋体"/>
                <w:sz w:val="20"/>
                <w:szCs w:val="20"/>
              </w:rPr>
            </w:pPr>
          </w:p>
        </w:tc>
        <w:tc>
          <w:tcPr>
            <w:tcW w:w="2819" w:type="dxa"/>
            <w:gridSpan w:val="2"/>
            <w:vAlign w:val="center"/>
          </w:tcPr>
          <w:p>
            <w:pPr>
              <w:rPr>
                <w:rFonts w:ascii="宋体"/>
                <w:sz w:val="20"/>
                <w:szCs w:val="20"/>
              </w:rPr>
            </w:pPr>
            <w:r>
              <w:rPr>
                <w:rFonts w:hint="eastAsia" w:ascii="宋体" w:hAnsi="宋体" w:cs="宋体"/>
                <w:kern w:val="0"/>
                <w:sz w:val="20"/>
                <w:szCs w:val="20"/>
              </w:rPr>
              <w:t>维修点资产总额（万元）</w:t>
            </w:r>
          </w:p>
        </w:tc>
        <w:tc>
          <w:tcPr>
            <w:tcW w:w="5937" w:type="dxa"/>
            <w:gridSpan w:val="3"/>
            <w:vAlign w:val="center"/>
          </w:tcPr>
          <w:p>
            <w:pPr>
              <w:rPr>
                <w:rFonts w:ascii="宋体" w:cs="宋体"/>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ind w:firstLine="200" w:firstLineChars="100"/>
              <w:rPr>
                <w:rFonts w:ascii="宋体" w:cs="宋体"/>
                <w:kern w:val="0"/>
                <w:sz w:val="20"/>
                <w:szCs w:val="20"/>
              </w:rPr>
            </w:pPr>
            <w:r>
              <w:rPr>
                <w:rFonts w:hint="eastAsia" w:ascii="宋体" w:hAnsi="宋体" w:cs="宋体"/>
                <w:kern w:val="0"/>
                <w:sz w:val="20"/>
                <w:szCs w:val="20"/>
              </w:rPr>
              <w:t>其中：维修设备总额（万元）</w:t>
            </w:r>
          </w:p>
        </w:tc>
        <w:tc>
          <w:tcPr>
            <w:tcW w:w="5937" w:type="dxa"/>
            <w:gridSpan w:val="3"/>
            <w:vAlign w:val="center"/>
          </w:tcPr>
          <w:p>
            <w:pP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rPr>
                <w:rFonts w:ascii="宋体" w:cs="宋体"/>
                <w:kern w:val="0"/>
                <w:sz w:val="20"/>
                <w:szCs w:val="20"/>
              </w:rPr>
            </w:pPr>
            <w:r>
              <w:rPr>
                <w:rFonts w:hint="eastAsia" w:ascii="宋体" w:hAnsi="宋体" w:cs="宋体"/>
                <w:kern w:val="0"/>
                <w:sz w:val="20"/>
                <w:szCs w:val="20"/>
              </w:rPr>
              <w:t>维修网点年收入（万元）</w:t>
            </w:r>
          </w:p>
        </w:tc>
        <w:tc>
          <w:tcPr>
            <w:tcW w:w="5937" w:type="dxa"/>
            <w:gridSpan w:val="3"/>
            <w:vAlign w:val="center"/>
          </w:tcPr>
          <w:p>
            <w:pP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c>
          <w:tcPr>
            <w:tcW w:w="657" w:type="dxa"/>
            <w:vMerge w:val="continue"/>
            <w:vAlign w:val="center"/>
          </w:tcPr>
          <w:p>
            <w:pPr>
              <w:jc w:val="center"/>
              <w:rPr>
                <w:rFonts w:ascii="宋体"/>
                <w:sz w:val="20"/>
                <w:szCs w:val="20"/>
              </w:rPr>
            </w:pPr>
          </w:p>
        </w:tc>
        <w:tc>
          <w:tcPr>
            <w:tcW w:w="2819" w:type="dxa"/>
            <w:gridSpan w:val="2"/>
            <w:vAlign w:val="center"/>
          </w:tcPr>
          <w:p>
            <w:pPr>
              <w:widowControl/>
              <w:spacing w:before="100" w:beforeAutospacing="1" w:after="100" w:afterAutospacing="1"/>
              <w:ind w:firstLine="200" w:firstLineChars="100"/>
              <w:rPr>
                <w:rFonts w:ascii="宋体" w:cs="宋体"/>
                <w:kern w:val="0"/>
                <w:sz w:val="20"/>
                <w:szCs w:val="20"/>
              </w:rPr>
            </w:pPr>
            <w:r>
              <w:rPr>
                <w:rFonts w:hint="eastAsia" w:ascii="宋体" w:hAnsi="宋体" w:cs="宋体"/>
                <w:kern w:val="0"/>
                <w:sz w:val="20"/>
                <w:szCs w:val="20"/>
              </w:rPr>
              <w:t>其中：维修收入（万元）</w:t>
            </w:r>
          </w:p>
        </w:tc>
        <w:tc>
          <w:tcPr>
            <w:tcW w:w="5937" w:type="dxa"/>
            <w:gridSpan w:val="3"/>
            <w:vAlign w:val="center"/>
          </w:tcPr>
          <w:p>
            <w:pPr>
              <w:rPr>
                <w:rFonts w:ascii="宋体"/>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629" w:hRule="atLeast"/>
        </w:trPr>
        <w:tc>
          <w:tcPr>
            <w:tcW w:w="657" w:type="dxa"/>
            <w:vMerge w:val="restart"/>
            <w:vAlign w:val="center"/>
          </w:tcPr>
          <w:p>
            <w:pPr>
              <w:widowControl/>
              <w:spacing w:before="100" w:beforeAutospacing="1" w:after="100" w:afterAutospacing="1"/>
              <w:jc w:val="center"/>
              <w:rPr>
                <w:rFonts w:ascii="宋体" w:cs="宋体"/>
                <w:kern w:val="0"/>
                <w:sz w:val="20"/>
                <w:szCs w:val="20"/>
              </w:rPr>
            </w:pPr>
            <w:r>
              <w:rPr>
                <w:rFonts w:hint="eastAsia" w:ascii="宋体" w:hAnsi="宋体" w:cs="宋体"/>
                <w:kern w:val="0"/>
                <w:sz w:val="20"/>
                <w:szCs w:val="20"/>
              </w:rPr>
              <w:t>农机维修服务保障现状</w:t>
            </w:r>
          </w:p>
        </w:tc>
        <w:tc>
          <w:tcPr>
            <w:tcW w:w="2093" w:type="dxa"/>
            <w:vAlign w:val="center"/>
          </w:tcPr>
          <w:p>
            <w:pPr>
              <w:widowControl/>
              <w:spacing w:before="100" w:beforeAutospacing="1" w:after="100" w:afterAutospacing="1"/>
              <w:rPr>
                <w:rFonts w:ascii="宋体" w:cs="宋体"/>
                <w:kern w:val="0"/>
                <w:sz w:val="20"/>
                <w:szCs w:val="20"/>
              </w:rPr>
            </w:pPr>
            <w:r>
              <w:rPr>
                <w:rFonts w:hint="eastAsia" w:ascii="宋体" w:hAnsi="宋体" w:cs="宋体"/>
                <w:kern w:val="0"/>
                <w:sz w:val="20"/>
                <w:szCs w:val="20"/>
              </w:rPr>
              <w:t>农机维修监管现状评价</w:t>
            </w:r>
          </w:p>
        </w:tc>
        <w:tc>
          <w:tcPr>
            <w:tcW w:w="6663" w:type="dxa"/>
            <w:gridSpan w:val="4"/>
            <w:vAlign w:val="center"/>
          </w:tcPr>
          <w:p>
            <w:pPr>
              <w:rPr>
                <w:rFonts w:ascii="宋体" w:cs="宋体"/>
                <w:color w:val="000000"/>
                <w:kern w:val="0"/>
                <w:sz w:val="20"/>
                <w:szCs w:val="20"/>
              </w:rPr>
            </w:pPr>
            <w:r>
              <w:rPr>
                <w:rFonts w:hint="eastAsia" w:ascii="宋体" w:hAnsi="宋体" w:cs="宋体"/>
                <w:color w:val="000000"/>
                <w:kern w:val="0"/>
                <w:sz w:val="20"/>
                <w:szCs w:val="20"/>
              </w:rPr>
              <w:t>□好，严格落实《规定》，从业人员持证率超过</w:t>
            </w:r>
            <w:r>
              <w:rPr>
                <w:rFonts w:ascii="宋体" w:hAnsi="宋体" w:cs="宋体"/>
                <w:color w:val="000000"/>
                <w:kern w:val="0"/>
                <w:sz w:val="20"/>
                <w:szCs w:val="20"/>
              </w:rPr>
              <w:t>90%</w:t>
            </w:r>
          </w:p>
          <w:p>
            <w:pPr>
              <w:rPr>
                <w:rFonts w:ascii="宋体" w:cs="宋体"/>
                <w:color w:val="000000"/>
                <w:kern w:val="0"/>
                <w:sz w:val="20"/>
                <w:szCs w:val="20"/>
              </w:rPr>
            </w:pPr>
            <w:r>
              <w:rPr>
                <w:rFonts w:hint="eastAsia" w:ascii="宋体" w:hAnsi="宋体" w:cs="宋体"/>
                <w:color w:val="000000"/>
                <w:kern w:val="0"/>
                <w:sz w:val="20"/>
                <w:szCs w:val="20"/>
              </w:rPr>
              <w:t>□较好，能宣传落实《规定》，对主动申领证书网点能及时办证</w:t>
            </w:r>
          </w:p>
          <w:p>
            <w:pPr>
              <w:rPr>
                <w:rFonts w:ascii="宋体" w:cs="宋体"/>
                <w:color w:val="000000"/>
                <w:kern w:val="0"/>
                <w:sz w:val="20"/>
                <w:szCs w:val="20"/>
              </w:rPr>
            </w:pPr>
            <w:r>
              <w:rPr>
                <w:rFonts w:hint="eastAsia" w:ascii="宋体" w:hAnsi="宋体" w:cs="宋体"/>
                <w:color w:val="000000"/>
                <w:kern w:val="0"/>
                <w:sz w:val="20"/>
                <w:szCs w:val="20"/>
              </w:rPr>
              <w:t>□一般，只能完成一般性的行业统计工作，其他监管工作基本未开展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563" w:hRule="atLeast"/>
        </w:trPr>
        <w:tc>
          <w:tcPr>
            <w:tcW w:w="657" w:type="dxa"/>
            <w:vMerge w:val="continue"/>
            <w:vAlign w:val="center"/>
          </w:tcPr>
          <w:p>
            <w:pPr>
              <w:spacing w:before="100" w:beforeAutospacing="1" w:after="100" w:afterAutospacing="1"/>
              <w:jc w:val="center"/>
              <w:rPr>
                <w:rFonts w:ascii="宋体" w:cs="宋体"/>
                <w:kern w:val="0"/>
                <w:sz w:val="20"/>
                <w:szCs w:val="20"/>
              </w:rPr>
            </w:pPr>
          </w:p>
        </w:tc>
        <w:tc>
          <w:tcPr>
            <w:tcW w:w="2093" w:type="dxa"/>
            <w:vAlign w:val="center"/>
          </w:tcPr>
          <w:p>
            <w:pPr>
              <w:spacing w:before="100" w:beforeAutospacing="1" w:after="100" w:afterAutospacing="1"/>
              <w:rPr>
                <w:rFonts w:ascii="宋体" w:cs="宋体"/>
                <w:kern w:val="0"/>
                <w:sz w:val="20"/>
                <w:szCs w:val="20"/>
              </w:rPr>
            </w:pPr>
            <w:r>
              <w:rPr>
                <w:rFonts w:hint="eastAsia" w:ascii="宋体" w:hAnsi="宋体" w:cs="宋体"/>
                <w:kern w:val="0"/>
                <w:sz w:val="20"/>
                <w:szCs w:val="20"/>
              </w:rPr>
              <w:t>农机维修监管不到位原因（</w:t>
            </w:r>
            <w:r>
              <w:rPr>
                <w:rFonts w:hint="eastAsia" w:ascii="宋体" w:hAnsi="宋体" w:cs="宋体"/>
                <w:b/>
                <w:color w:val="000000"/>
                <w:kern w:val="0"/>
                <w:sz w:val="20"/>
                <w:szCs w:val="20"/>
              </w:rPr>
              <w:t>可多选）</w:t>
            </w:r>
          </w:p>
        </w:tc>
        <w:tc>
          <w:tcPr>
            <w:tcW w:w="6663" w:type="dxa"/>
            <w:gridSpan w:val="4"/>
            <w:vAlign w:val="center"/>
          </w:tcPr>
          <w:p>
            <w:pPr>
              <w:rPr>
                <w:rFonts w:ascii="宋体" w:cs="宋体"/>
                <w:color w:val="000000"/>
                <w:kern w:val="0"/>
                <w:sz w:val="20"/>
                <w:szCs w:val="20"/>
              </w:rPr>
            </w:pPr>
            <w:r>
              <w:rPr>
                <w:rFonts w:hint="eastAsia" w:ascii="宋体" w:hAnsi="宋体" w:cs="宋体"/>
                <w:color w:val="000000"/>
                <w:kern w:val="0"/>
                <w:sz w:val="20"/>
                <w:szCs w:val="20"/>
              </w:rPr>
              <w:t>□职责不清；□人手少；□经费少；□不重视；□执法手段弱；□网点守法经营意识差；□许可审批技术标准高；□许可审批手续繁琐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9" w:hRule="atLeast"/>
        </w:trPr>
        <w:tc>
          <w:tcPr>
            <w:tcW w:w="657" w:type="dxa"/>
            <w:vMerge w:val="continue"/>
            <w:vAlign w:val="center"/>
          </w:tcPr>
          <w:p>
            <w:pPr>
              <w:widowControl/>
              <w:spacing w:before="100" w:beforeAutospacing="1" w:after="100" w:afterAutospacing="1"/>
              <w:jc w:val="center"/>
              <w:rPr>
                <w:rFonts w:ascii="宋体" w:cs="宋体"/>
                <w:kern w:val="0"/>
                <w:sz w:val="20"/>
                <w:szCs w:val="20"/>
              </w:rPr>
            </w:pPr>
          </w:p>
        </w:tc>
        <w:tc>
          <w:tcPr>
            <w:tcW w:w="2093" w:type="dxa"/>
            <w:vAlign w:val="center"/>
          </w:tcPr>
          <w:p>
            <w:pPr>
              <w:widowControl/>
              <w:spacing w:before="100" w:beforeAutospacing="1" w:after="100" w:afterAutospacing="1"/>
              <w:rPr>
                <w:rFonts w:ascii="宋体" w:cs="宋体"/>
                <w:kern w:val="0"/>
                <w:sz w:val="20"/>
                <w:szCs w:val="20"/>
              </w:rPr>
            </w:pPr>
            <w:r>
              <w:rPr>
                <w:rFonts w:hint="eastAsia" w:ascii="宋体" w:hAnsi="宋体" w:cs="宋体"/>
                <w:kern w:val="0"/>
                <w:sz w:val="20"/>
                <w:szCs w:val="20"/>
              </w:rPr>
              <w:t>农机维修服务保障现状总体评价</w:t>
            </w:r>
          </w:p>
        </w:tc>
        <w:tc>
          <w:tcPr>
            <w:tcW w:w="6663" w:type="dxa"/>
            <w:gridSpan w:val="4"/>
            <w:vAlign w:val="center"/>
          </w:tcPr>
          <w:p>
            <w:pPr>
              <w:rPr>
                <w:rFonts w:ascii="宋体" w:cs="宋体"/>
                <w:color w:val="000000"/>
                <w:kern w:val="0"/>
                <w:sz w:val="20"/>
                <w:szCs w:val="20"/>
              </w:rPr>
            </w:pPr>
            <w:r>
              <w:rPr>
                <w:rFonts w:hint="eastAsia" w:ascii="宋体" w:hAnsi="宋体" w:cs="宋体"/>
                <w:color w:val="000000"/>
                <w:kern w:val="0"/>
                <w:sz w:val="20"/>
                <w:szCs w:val="20"/>
              </w:rPr>
              <w:t>□较好，网点布局合理，依法经营，综合一级、二级网点占比超过</w:t>
            </w:r>
            <w:r>
              <w:rPr>
                <w:rFonts w:ascii="宋体" w:hAnsi="宋体" w:cs="宋体"/>
                <w:color w:val="000000"/>
                <w:kern w:val="0"/>
                <w:sz w:val="20"/>
                <w:szCs w:val="20"/>
              </w:rPr>
              <w:t>15%</w:t>
            </w:r>
          </w:p>
          <w:p>
            <w:pPr>
              <w:rPr>
                <w:rFonts w:ascii="宋体" w:cs="宋体"/>
                <w:color w:val="000000"/>
                <w:kern w:val="0"/>
                <w:sz w:val="20"/>
                <w:szCs w:val="20"/>
              </w:rPr>
            </w:pPr>
            <w:r>
              <w:rPr>
                <w:rFonts w:hint="eastAsia" w:ascii="宋体" w:hAnsi="宋体" w:cs="宋体"/>
                <w:color w:val="000000"/>
                <w:kern w:val="0"/>
                <w:sz w:val="20"/>
                <w:szCs w:val="20"/>
              </w:rPr>
              <w:t>□一般，网点布局较合理，农机故障能较及时处理</w:t>
            </w:r>
          </w:p>
          <w:p>
            <w:pPr>
              <w:rPr>
                <w:rFonts w:ascii="宋体" w:cs="宋体"/>
                <w:color w:val="000000"/>
                <w:kern w:val="0"/>
                <w:sz w:val="20"/>
                <w:szCs w:val="20"/>
              </w:rPr>
            </w:pPr>
            <w:r>
              <w:rPr>
                <w:rFonts w:hint="eastAsia" w:ascii="宋体" w:hAnsi="宋体" w:cs="宋体"/>
                <w:color w:val="000000"/>
                <w:kern w:val="0"/>
                <w:sz w:val="20"/>
                <w:szCs w:val="20"/>
              </w:rPr>
              <w:t>□较差，农机故障难维修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52" w:hRule="atLeast"/>
        </w:trPr>
        <w:tc>
          <w:tcPr>
            <w:tcW w:w="657" w:type="dxa"/>
            <w:vMerge w:val="continue"/>
            <w:vAlign w:val="center"/>
          </w:tcPr>
          <w:p>
            <w:pPr>
              <w:spacing w:before="100" w:beforeAutospacing="1" w:after="100" w:afterAutospacing="1"/>
              <w:jc w:val="center"/>
              <w:rPr>
                <w:rFonts w:ascii="宋体" w:cs="宋体"/>
                <w:kern w:val="0"/>
                <w:sz w:val="20"/>
                <w:szCs w:val="20"/>
              </w:rPr>
            </w:pPr>
          </w:p>
        </w:tc>
        <w:tc>
          <w:tcPr>
            <w:tcW w:w="2093" w:type="dxa"/>
            <w:vAlign w:val="center"/>
          </w:tcPr>
          <w:p>
            <w:pPr>
              <w:spacing w:before="100" w:beforeAutospacing="1" w:after="100" w:afterAutospacing="1"/>
              <w:rPr>
                <w:rFonts w:ascii="宋体" w:cs="宋体"/>
                <w:kern w:val="0"/>
                <w:sz w:val="20"/>
                <w:szCs w:val="20"/>
              </w:rPr>
            </w:pPr>
            <w:r>
              <w:rPr>
                <w:rFonts w:hint="eastAsia" w:ascii="宋体" w:hAnsi="宋体" w:cs="宋体"/>
                <w:kern w:val="0"/>
                <w:sz w:val="20"/>
                <w:szCs w:val="20"/>
              </w:rPr>
              <w:t>维修服务保障突出问题</w:t>
            </w:r>
            <w:r>
              <w:rPr>
                <w:rFonts w:hint="eastAsia" w:ascii="宋体" w:hAnsi="宋体" w:cs="宋体"/>
                <w:b/>
                <w:kern w:val="0"/>
                <w:sz w:val="20"/>
                <w:szCs w:val="20"/>
              </w:rPr>
              <w:t>（可多选）</w:t>
            </w:r>
          </w:p>
        </w:tc>
        <w:tc>
          <w:tcPr>
            <w:tcW w:w="6663" w:type="dxa"/>
            <w:gridSpan w:val="4"/>
            <w:vAlign w:val="center"/>
          </w:tcPr>
          <w:p>
            <w:pPr>
              <w:rPr>
                <w:rFonts w:ascii="宋体"/>
                <w:sz w:val="20"/>
                <w:szCs w:val="20"/>
              </w:rPr>
            </w:pPr>
            <w:r>
              <w:rPr>
                <w:rFonts w:hint="eastAsia" w:ascii="宋体" w:hAnsi="宋体" w:cs="宋体"/>
                <w:color w:val="000000"/>
                <w:kern w:val="0"/>
                <w:sz w:val="20"/>
                <w:szCs w:val="20"/>
              </w:rPr>
              <w:t>□维修服务不及时；□维修服务不方便；□维修配件难购买；□维修配件质量差、价格贵；□维修服务技能低、质量差</w:t>
            </w:r>
            <w:r>
              <w:rPr>
                <w:rFonts w:hint="eastAsia" w:ascii="宋体" w:hAnsi="宋体"/>
                <w:sz w:val="20"/>
                <w:szCs w:val="20"/>
              </w:rPr>
              <w:t>；</w:t>
            </w:r>
            <w:r>
              <w:rPr>
                <w:rFonts w:hint="eastAsia" w:ascii="宋体" w:hAnsi="宋体" w:cs="宋体"/>
                <w:color w:val="000000"/>
                <w:kern w:val="0"/>
                <w:sz w:val="20"/>
                <w:szCs w:val="20"/>
              </w:rPr>
              <w:t>□市场秩序乱</w:t>
            </w:r>
          </w:p>
        </w:tc>
      </w:tr>
    </w:tbl>
    <w:p>
      <w:pPr>
        <w:rPr>
          <w:u w:color="000000"/>
        </w:rPr>
      </w:pPr>
      <w:r>
        <w:rPr>
          <w:rFonts w:hint="eastAsia"/>
          <w:szCs w:val="21"/>
        </w:rPr>
        <w:t>注：</w:t>
      </w:r>
      <w:r>
        <w:rPr>
          <w:szCs w:val="21"/>
        </w:rPr>
        <w:fldChar w:fldCharType="begin"/>
      </w:r>
      <w:r>
        <w:rPr>
          <w:szCs w:val="21"/>
        </w:rPr>
        <w:instrText xml:space="preserve">= 1 \* GB3</w:instrText>
      </w:r>
      <w:r>
        <w:rPr>
          <w:szCs w:val="21"/>
        </w:rPr>
        <w:fldChar w:fldCharType="separate"/>
      </w:r>
      <w:r>
        <w:rPr>
          <w:rFonts w:hint="eastAsia"/>
          <w:szCs w:val="21"/>
        </w:rPr>
        <w:t>①</w:t>
      </w:r>
      <w:r>
        <w:rPr>
          <w:szCs w:val="21"/>
        </w:rPr>
        <w:fldChar w:fldCharType="end"/>
      </w:r>
      <w:r>
        <w:rPr>
          <w:rFonts w:hint="eastAsia"/>
          <w:szCs w:val="21"/>
        </w:rPr>
        <w:t>《规定》：即《农业机械维修管理规定》。</w:t>
      </w:r>
      <w:r>
        <w:rPr>
          <w:szCs w:val="21"/>
        </w:rPr>
        <w:fldChar w:fldCharType="begin"/>
      </w:r>
      <w:r>
        <w:rPr>
          <w:szCs w:val="21"/>
        </w:rPr>
        <w:instrText xml:space="preserve">= 2 \* GB3</w:instrText>
      </w:r>
      <w:r>
        <w:rPr>
          <w:szCs w:val="21"/>
        </w:rPr>
        <w:fldChar w:fldCharType="separate"/>
      </w:r>
      <w:r>
        <w:rPr>
          <w:rFonts w:hint="eastAsia"/>
          <w:szCs w:val="21"/>
        </w:rPr>
        <w:t>②</w:t>
      </w:r>
      <w:r>
        <w:rPr>
          <w:szCs w:val="21"/>
        </w:rPr>
        <w:fldChar w:fldCharType="end"/>
      </w:r>
      <w:r>
        <w:rPr>
          <w:rFonts w:hint="eastAsia"/>
          <w:szCs w:val="21"/>
        </w:rPr>
        <w:t>系统：指农业部开发的“全国农机维修管理信息系统”，链接网址</w:t>
      </w:r>
      <w:r>
        <w:fldChar w:fldCharType="begin"/>
      </w:r>
      <w:r>
        <w:instrText xml:space="preserve"> HYPERLINK "HTTP://njwx.camtc.net" </w:instrText>
      </w:r>
      <w:r>
        <w:fldChar w:fldCharType="separate"/>
      </w:r>
      <w:r>
        <w:rPr>
          <w:rStyle w:val="6"/>
          <w:color w:val="auto"/>
          <w:szCs w:val="21"/>
          <w:u w:val="none"/>
        </w:rPr>
        <w:t>http://njwx.camtc.net</w:t>
      </w:r>
      <w:r>
        <w:rPr>
          <w:rStyle w:val="6"/>
          <w:color w:val="auto"/>
          <w:szCs w:val="21"/>
          <w:u w:val="none"/>
        </w:rPr>
        <w:fldChar w:fldCharType="end"/>
      </w:r>
      <w:r>
        <w:rPr>
          <w:rFonts w:hint="eastAsia"/>
          <w:szCs w:val="21"/>
        </w:rPr>
        <w:t>。</w:t>
      </w:r>
    </w:p>
    <w:p/>
    <w:p>
      <w:pPr>
        <w:adjustRightInd w:val="0"/>
        <w:spacing w:line="360" w:lineRule="auto"/>
        <w:rPr>
          <w:rFonts w:hint="eastAsia" w:ascii="仿宋_GB2312" w:hAnsi="仿宋_GB2312" w:eastAsia="仿宋_GB2312" w:cs="仿宋_GB2312"/>
          <w:bCs/>
          <w:sz w:val="32"/>
          <w:szCs w:val="32"/>
        </w:rPr>
      </w:pPr>
    </w:p>
    <w:p>
      <w:pPr>
        <w:adjustRightInd w:val="0"/>
        <w:spacing w:line="360" w:lineRule="auto"/>
        <w:rPr>
          <w:rFonts w:hint="eastAsia" w:ascii="仿宋_GB2312" w:hAnsi="仿宋_GB2312" w:eastAsia="仿宋_GB2312" w:cs="仿宋_GB2312"/>
          <w:bCs/>
          <w:sz w:val="32"/>
          <w:szCs w:val="32"/>
        </w:rPr>
      </w:pPr>
    </w:p>
    <w:p>
      <w:pPr>
        <w:adjustRightInd w:val="0"/>
        <w:spacing w:line="360" w:lineRule="auto"/>
        <w:rPr>
          <w:rFonts w:ascii="仿宋_GB2312" w:hAnsi="仿宋_GB2312" w:eastAsia="仿宋_GB2312" w:cs="仿宋_GB2312"/>
          <w:bCs/>
          <w:sz w:val="32"/>
          <w:szCs w:val="32"/>
        </w:rPr>
      </w:pPr>
      <w:r>
        <w:rPr>
          <w:rFonts w:hint="eastAsia" w:ascii="仿宋_GB2312" w:hAnsi="仿宋_GB2312" w:eastAsia="仿宋_GB2312" w:cs="仿宋_GB2312"/>
          <w:bCs/>
          <w:sz w:val="32"/>
          <w:szCs w:val="32"/>
        </w:rPr>
        <w:t>附</w:t>
      </w:r>
      <w:r>
        <w:rPr>
          <w:rFonts w:hint="eastAsia" w:ascii="仿宋_GB2312" w:hAnsi="仿宋_GB2312" w:eastAsia="仿宋_GB2312" w:cs="仿宋_GB2312"/>
          <w:bCs/>
          <w:sz w:val="32"/>
          <w:szCs w:val="32"/>
          <w:lang w:eastAsia="zh-CN"/>
        </w:rPr>
        <w:t>表</w:t>
      </w:r>
      <w:r>
        <w:rPr>
          <w:rFonts w:ascii="仿宋_GB2312" w:hAnsi="仿宋_GB2312" w:eastAsia="仿宋_GB2312" w:cs="仿宋_GB2312"/>
          <w:bCs/>
          <w:sz w:val="32"/>
          <w:szCs w:val="32"/>
        </w:rPr>
        <w:t>2</w:t>
      </w:r>
    </w:p>
    <w:p>
      <w:pPr>
        <w:adjustRightInd w:val="0"/>
        <w:spacing w:line="360" w:lineRule="auto"/>
        <w:jc w:val="center"/>
        <w:rPr>
          <w:rFonts w:ascii="黑体" w:hAnsi="黑体" w:eastAsia="黑体"/>
          <w:bCs/>
          <w:color w:val="0000FF"/>
          <w:sz w:val="28"/>
          <w:szCs w:val="28"/>
        </w:rPr>
      </w:pPr>
      <w:r>
        <w:rPr>
          <w:rFonts w:hint="eastAsia" w:ascii="黑体" w:hAnsi="黑体" w:eastAsia="黑体"/>
          <w:bCs/>
          <w:color w:val="0000FF"/>
          <w:sz w:val="28"/>
          <w:szCs w:val="28"/>
        </w:rPr>
        <w:t>农机维修网点专项检查记录表</w:t>
      </w:r>
    </w:p>
    <w:tbl>
      <w:tblPr>
        <w:tblStyle w:val="7"/>
        <w:tblW w:w="9286" w:type="dxa"/>
        <w:tblInd w:w="0" w:type="dxa"/>
        <w:tblLayout w:type="fixed"/>
        <w:tblCellMar>
          <w:top w:w="0" w:type="dxa"/>
          <w:left w:w="108" w:type="dxa"/>
          <w:bottom w:w="0" w:type="dxa"/>
          <w:right w:w="108" w:type="dxa"/>
        </w:tblCellMar>
      </w:tblPr>
      <w:tblGrid>
        <w:gridCol w:w="835"/>
        <w:gridCol w:w="6012"/>
        <w:gridCol w:w="2439"/>
      </w:tblGrid>
      <w:tr>
        <w:tblPrEx>
          <w:tblLayout w:type="fixed"/>
          <w:tblCellMar>
            <w:top w:w="0" w:type="dxa"/>
            <w:left w:w="108" w:type="dxa"/>
            <w:bottom w:w="0" w:type="dxa"/>
            <w:right w:w="108" w:type="dxa"/>
          </w:tblCellMar>
        </w:tblPrEx>
        <w:trPr>
          <w:trHeight w:val="915" w:hRule="atLeast"/>
        </w:trPr>
        <w:tc>
          <w:tcPr>
            <w:tcW w:w="9286" w:type="dxa"/>
            <w:gridSpan w:val="3"/>
            <w:tcBorders>
              <w:top w:val="single" w:color="auto" w:sz="4" w:space="0"/>
              <w:left w:val="single" w:color="auto" w:sz="4" w:space="0"/>
              <w:bottom w:val="single" w:color="auto" w:sz="4" w:space="0"/>
              <w:right w:val="single" w:color="000000"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检查时间：被检查企业：</w:t>
            </w:r>
            <w:r>
              <w:rPr>
                <w:rFonts w:ascii="宋体" w:cs="宋体"/>
                <w:color w:val="000000"/>
                <w:kern w:val="0"/>
                <w:sz w:val="24"/>
              </w:rPr>
              <w:br w:type="textWrapping"/>
            </w:r>
            <w:r>
              <w:rPr>
                <w:rFonts w:hint="eastAsia" w:ascii="宋体" w:hAnsi="宋体" w:cs="宋体"/>
                <w:color w:val="000000"/>
                <w:kern w:val="0"/>
                <w:sz w:val="24"/>
              </w:rPr>
              <w:t>检查地点：企业负责人：</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序号</w:t>
            </w:r>
          </w:p>
        </w:tc>
        <w:tc>
          <w:tcPr>
            <w:tcW w:w="6012"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检查内容</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检查结果</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1</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证照齐全，悬挂整齐</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810"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2</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维修人员是否取得与其从事的维修范围相适应资格证书</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89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3</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设备、仪器配备种类、规格和数量应与其维修规模、维修工艺相适应；设备技术状况应完好，满足维修使用要求；</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4</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安全生产管理组织健全</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5</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是否建立《农机维修安全管理制度》</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6</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安全管理人员配备情况</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7</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相关业务人员安全管理及培训制度</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8</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安全生产台账建立情况</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405"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9</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使用和存储有毒、易燃、易爆、腐蚀剂、污染物、压力容器等物品应有安全防护措施和设施，安全防护设施应有明显的警示标识。</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540" w:hRule="atLeast"/>
        </w:trPr>
        <w:tc>
          <w:tcPr>
            <w:tcW w:w="835"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4"/>
              </w:rPr>
            </w:pPr>
            <w:r>
              <w:rPr>
                <w:rFonts w:ascii="宋体" w:hAnsi="宋体" w:cs="宋体"/>
                <w:color w:val="000000"/>
                <w:kern w:val="0"/>
                <w:sz w:val="24"/>
              </w:rPr>
              <w:t>10</w:t>
            </w:r>
          </w:p>
        </w:tc>
        <w:tc>
          <w:tcPr>
            <w:tcW w:w="6012" w:type="dxa"/>
            <w:tcBorders>
              <w:top w:val="nil"/>
              <w:left w:val="nil"/>
              <w:bottom w:val="single" w:color="auto" w:sz="4" w:space="0"/>
              <w:right w:val="single" w:color="auto" w:sz="4" w:space="0"/>
            </w:tcBorders>
            <w:vAlign w:val="center"/>
          </w:tcPr>
          <w:p>
            <w:pPr>
              <w:widowControl/>
              <w:jc w:val="left"/>
              <w:rPr>
                <w:rFonts w:ascii="宋体" w:cs="宋体"/>
                <w:color w:val="000000"/>
                <w:kern w:val="0"/>
                <w:sz w:val="24"/>
              </w:rPr>
            </w:pPr>
            <w:r>
              <w:rPr>
                <w:rFonts w:hint="eastAsia" w:ascii="宋体" w:hAnsi="宋体" w:cs="宋体"/>
                <w:color w:val="000000"/>
                <w:kern w:val="0"/>
                <w:sz w:val="24"/>
              </w:rPr>
              <w:t>消防设施完善，消防通道通畅</w:t>
            </w:r>
          </w:p>
        </w:tc>
        <w:tc>
          <w:tcPr>
            <w:tcW w:w="243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624" w:hRule="atLeast"/>
        </w:trPr>
        <w:tc>
          <w:tcPr>
            <w:tcW w:w="835" w:type="dxa"/>
            <w:vMerge w:val="restart"/>
            <w:tcBorders>
              <w:top w:val="nil"/>
              <w:left w:val="single" w:color="auto" w:sz="4" w:space="0"/>
              <w:bottom w:val="single" w:color="000000" w:sz="4" w:space="0"/>
              <w:right w:val="nil"/>
            </w:tcBorders>
            <w:vAlign w:val="center"/>
          </w:tcPr>
          <w:p>
            <w:pPr>
              <w:widowControl/>
              <w:jc w:val="center"/>
              <w:rPr>
                <w:rFonts w:ascii="宋体" w:cs="宋体"/>
                <w:color w:val="000000"/>
                <w:kern w:val="0"/>
                <w:sz w:val="24"/>
              </w:rPr>
            </w:pPr>
            <w:r>
              <w:rPr>
                <w:rFonts w:hint="eastAsia" w:ascii="宋体" w:hAnsi="宋体" w:cs="宋体"/>
                <w:color w:val="000000"/>
                <w:kern w:val="0"/>
                <w:sz w:val="24"/>
              </w:rPr>
              <w:t>亮点工作</w:t>
            </w:r>
          </w:p>
        </w:tc>
        <w:tc>
          <w:tcPr>
            <w:tcW w:w="8451" w:type="dxa"/>
            <w:gridSpan w:val="2"/>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cs="宋体"/>
                <w:color w:val="000000"/>
                <w:kern w:val="0"/>
                <w:sz w:val="24"/>
              </w:rPr>
            </w:pPr>
            <w:r>
              <w:rPr>
                <w:rFonts w:hint="eastAsia" w:ascii="宋体" w:hAnsi="宋体" w:cs="宋体"/>
                <w:color w:val="000000"/>
                <w:kern w:val="0"/>
                <w:sz w:val="24"/>
              </w:rPr>
              <w:t>　</w:t>
            </w:r>
          </w:p>
        </w:tc>
      </w:tr>
      <w:tr>
        <w:tblPrEx>
          <w:tblLayout w:type="fixed"/>
          <w:tblCellMar>
            <w:top w:w="0" w:type="dxa"/>
            <w:left w:w="108" w:type="dxa"/>
            <w:bottom w:w="0" w:type="dxa"/>
            <w:right w:w="108" w:type="dxa"/>
          </w:tblCellMar>
        </w:tblPrEx>
        <w:trPr>
          <w:trHeight w:val="1584" w:hRule="atLeast"/>
        </w:trPr>
        <w:tc>
          <w:tcPr>
            <w:tcW w:w="835" w:type="dxa"/>
            <w:vMerge w:val="continue"/>
            <w:tcBorders>
              <w:top w:val="nil"/>
              <w:left w:val="single" w:color="auto" w:sz="4" w:space="0"/>
              <w:bottom w:val="single" w:color="000000" w:sz="4" w:space="0"/>
              <w:right w:val="nil"/>
            </w:tcBorders>
            <w:vAlign w:val="center"/>
          </w:tcPr>
          <w:p>
            <w:pPr>
              <w:widowControl/>
              <w:jc w:val="left"/>
              <w:rPr>
                <w:rFonts w:ascii="宋体" w:cs="宋体"/>
                <w:color w:val="000000"/>
                <w:kern w:val="0"/>
                <w:sz w:val="24"/>
              </w:rPr>
            </w:pPr>
          </w:p>
        </w:tc>
        <w:tc>
          <w:tcPr>
            <w:tcW w:w="8451"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cs="宋体"/>
                <w:color w:val="000000"/>
                <w:kern w:val="0"/>
                <w:sz w:val="24"/>
              </w:rPr>
            </w:pPr>
          </w:p>
        </w:tc>
      </w:tr>
      <w:tr>
        <w:tblPrEx>
          <w:tblLayout w:type="fixed"/>
          <w:tblCellMar>
            <w:top w:w="0" w:type="dxa"/>
            <w:left w:w="108" w:type="dxa"/>
            <w:bottom w:w="0" w:type="dxa"/>
            <w:right w:w="108" w:type="dxa"/>
          </w:tblCellMar>
        </w:tblPrEx>
        <w:trPr>
          <w:trHeight w:val="1275" w:hRule="atLeast"/>
        </w:trPr>
        <w:tc>
          <w:tcPr>
            <w:tcW w:w="9286"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spacing w:line="360" w:lineRule="auto"/>
              <w:jc w:val="left"/>
              <w:rPr>
                <w:rFonts w:ascii="宋体" w:cs="宋体"/>
                <w:color w:val="000000"/>
                <w:kern w:val="0"/>
                <w:sz w:val="24"/>
              </w:rPr>
            </w:pPr>
            <w:r>
              <w:rPr>
                <w:rFonts w:hint="eastAsia" w:ascii="宋体" w:hAnsi="宋体" w:cs="宋体"/>
                <w:color w:val="000000"/>
                <w:kern w:val="0"/>
                <w:sz w:val="24"/>
              </w:rPr>
              <w:t>督导建议：</w:t>
            </w:r>
            <w:r>
              <w:rPr>
                <w:rFonts w:ascii="宋体" w:cs="宋体"/>
                <w:color w:val="000000"/>
                <w:kern w:val="0"/>
                <w:sz w:val="24"/>
              </w:rPr>
              <w:br w:type="textWrapping"/>
            </w:r>
            <w:r>
              <w:rPr>
                <w:rFonts w:ascii="宋体" w:cs="宋体"/>
                <w:color w:val="000000"/>
                <w:kern w:val="0"/>
                <w:sz w:val="24"/>
              </w:rPr>
              <w:br w:type="textWrapping"/>
            </w:r>
            <w:r>
              <w:rPr>
                <w:rFonts w:ascii="宋体" w:cs="宋体"/>
                <w:color w:val="000000"/>
                <w:kern w:val="0"/>
                <w:sz w:val="24"/>
              </w:rPr>
              <w:br w:type="textWrapping"/>
            </w:r>
            <w:r>
              <w:rPr>
                <w:rFonts w:hint="eastAsia" w:ascii="宋体" w:hAnsi="宋体" w:cs="宋体"/>
                <w:color w:val="000000"/>
                <w:kern w:val="0"/>
                <w:sz w:val="24"/>
              </w:rPr>
              <w:t>督导人员：</w:t>
            </w:r>
            <w:r>
              <w:rPr>
                <w:rFonts w:ascii="宋体" w:hAnsi="宋体" w:cs="宋体"/>
                <w:color w:val="000000"/>
                <w:kern w:val="0"/>
                <w:sz w:val="24"/>
              </w:rPr>
              <w:br w:type="textWrapping"/>
            </w:r>
            <w:r>
              <w:rPr>
                <w:rFonts w:hint="eastAsia" w:ascii="宋体" w:hAnsi="宋体" w:cs="宋体"/>
                <w:color w:val="000000"/>
                <w:kern w:val="0"/>
                <w:sz w:val="24"/>
              </w:rPr>
              <w:t>年月日</w:t>
            </w:r>
          </w:p>
        </w:tc>
      </w:tr>
      <w:tr>
        <w:tblPrEx>
          <w:tblLayout w:type="fixed"/>
          <w:tblCellMar>
            <w:top w:w="0" w:type="dxa"/>
            <w:left w:w="108" w:type="dxa"/>
            <w:bottom w:w="0" w:type="dxa"/>
            <w:right w:w="108" w:type="dxa"/>
          </w:tblCellMar>
        </w:tblPrEx>
        <w:trPr>
          <w:trHeight w:val="1200" w:hRule="atLeast"/>
        </w:trPr>
        <w:tc>
          <w:tcPr>
            <w:tcW w:w="9286"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4"/>
              </w:rPr>
            </w:pPr>
          </w:p>
        </w:tc>
      </w:tr>
    </w:tbl>
    <w:p>
      <w:r>
        <w:rPr>
          <w:rFonts w:hint="eastAsia"/>
        </w:rPr>
        <w:t>附</w:t>
      </w:r>
      <w:r>
        <w:rPr>
          <w:rFonts w:hint="eastAsia"/>
          <w:lang w:eastAsia="zh-CN"/>
        </w:rPr>
        <w:t>表</w:t>
      </w:r>
      <w:r>
        <w:rPr>
          <w:rFonts w:hint="eastAsia"/>
        </w:rPr>
        <w:t>3</w:t>
      </w:r>
    </w:p>
    <w:p>
      <w:pPr>
        <w:adjustRightInd w:val="0"/>
        <w:spacing w:line="360" w:lineRule="auto"/>
        <w:jc w:val="center"/>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农机安全生产专项检查记录表</w:t>
      </w:r>
    </w:p>
    <w:tbl>
      <w:tblPr>
        <w:tblStyle w:val="7"/>
        <w:tblW w:w="9288" w:type="dxa"/>
        <w:tblInd w:w="0" w:type="dxa"/>
        <w:tblLayout w:type="fixed"/>
        <w:tblCellMar>
          <w:top w:w="0" w:type="dxa"/>
          <w:left w:w="108" w:type="dxa"/>
          <w:bottom w:w="0" w:type="dxa"/>
          <w:right w:w="108" w:type="dxa"/>
        </w:tblCellMar>
      </w:tblPr>
      <w:tblGrid>
        <w:gridCol w:w="817"/>
        <w:gridCol w:w="3827"/>
        <w:gridCol w:w="1418"/>
        <w:gridCol w:w="1759"/>
        <w:gridCol w:w="1467"/>
      </w:tblGrid>
      <w:tr>
        <w:tblPrEx>
          <w:tblLayout w:type="fixed"/>
          <w:tblCellMar>
            <w:top w:w="0" w:type="dxa"/>
            <w:left w:w="108" w:type="dxa"/>
            <w:bottom w:w="0" w:type="dxa"/>
            <w:right w:w="108" w:type="dxa"/>
          </w:tblCellMar>
        </w:tblPrEx>
        <w:trPr>
          <w:trHeight w:val="90" w:hRule="atLeast"/>
        </w:trPr>
        <w:tc>
          <w:tcPr>
            <w:tcW w:w="9288" w:type="dxa"/>
            <w:gridSpan w:val="5"/>
            <w:tcBorders>
              <w:top w:val="single" w:color="auto" w:sz="4" w:space="0"/>
              <w:left w:val="single" w:color="auto" w:sz="4" w:space="0"/>
              <w:bottom w:val="single" w:color="auto" w:sz="4" w:space="0"/>
              <w:right w:val="single" w:color="auto" w:sz="4" w:space="0"/>
            </w:tcBorders>
            <w:vAlign w:val="center"/>
          </w:tcPr>
          <w:p>
            <w:pPr>
              <w:tabs>
                <w:tab w:val="left" w:pos="3147"/>
                <w:tab w:val="center" w:pos="4482"/>
              </w:tabs>
              <w:adjustRightInd w:val="0"/>
              <w:spacing w:line="360" w:lineRule="auto"/>
              <w:jc w:val="left"/>
              <w:rPr>
                <w:rFonts w:ascii="宋体" w:cs="宋体"/>
                <w:color w:val="000000"/>
                <w:kern w:val="0"/>
                <w:sz w:val="28"/>
                <w:szCs w:val="28"/>
              </w:rPr>
            </w:pPr>
            <w:r>
              <w:rPr>
                <w:rFonts w:hint="eastAsia" w:ascii="宋体" w:hAnsi="宋体" w:cs="宋体"/>
                <w:color w:val="000000"/>
                <w:kern w:val="0"/>
                <w:sz w:val="28"/>
                <w:szCs w:val="28"/>
              </w:rPr>
              <w:t xml:space="preserve">被检查单位：          检查时间：              </w:t>
            </w:r>
          </w:p>
        </w:tc>
      </w:tr>
      <w:tr>
        <w:tblPrEx>
          <w:tblLayout w:type="fixed"/>
          <w:tblCellMar>
            <w:top w:w="0" w:type="dxa"/>
            <w:left w:w="108" w:type="dxa"/>
            <w:bottom w:w="0" w:type="dxa"/>
            <w:right w:w="108" w:type="dxa"/>
          </w:tblCellMar>
        </w:tblPrEx>
        <w:trPr>
          <w:trHeight w:val="405" w:hRule="atLeast"/>
        </w:trPr>
        <w:tc>
          <w:tcPr>
            <w:tcW w:w="817" w:type="dxa"/>
            <w:tcBorders>
              <w:top w:val="nil"/>
              <w:left w:val="single" w:color="auto" w:sz="4" w:space="0"/>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5245" w:type="dxa"/>
            <w:gridSpan w:val="2"/>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检查内容</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存在问题</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处理意见</w:t>
            </w:r>
          </w:p>
        </w:tc>
      </w:tr>
      <w:tr>
        <w:tblPrEx>
          <w:tblLayout w:type="fixed"/>
          <w:tblCellMar>
            <w:top w:w="0" w:type="dxa"/>
            <w:left w:w="108" w:type="dxa"/>
            <w:bottom w:w="0" w:type="dxa"/>
            <w:right w:w="108" w:type="dxa"/>
          </w:tblCellMar>
        </w:tblPrEx>
        <w:trPr>
          <w:trHeight w:val="405" w:hRule="atLeast"/>
        </w:trPr>
        <w:tc>
          <w:tcPr>
            <w:tcW w:w="81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组织领导</w:t>
            </w: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安全生产领导小组建立情况</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定期召开安全生产工作会议</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专职人员从事安全生产工作</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tabs>
                <w:tab w:val="left" w:pos="3706"/>
              </w:tabs>
              <w:jc w:val="left"/>
              <w:rPr>
                <w:rFonts w:ascii="宋体" w:cs="宋体"/>
                <w:color w:val="000000"/>
                <w:kern w:val="0"/>
                <w:sz w:val="28"/>
                <w:szCs w:val="28"/>
              </w:rPr>
            </w:pPr>
            <w:r>
              <w:rPr>
                <w:rFonts w:hint="eastAsia" w:ascii="宋体" w:hAnsi="宋体" w:cs="宋体"/>
                <w:color w:val="000000"/>
                <w:kern w:val="0"/>
                <w:sz w:val="28"/>
                <w:szCs w:val="28"/>
              </w:rPr>
              <w:t>安全生产工作台账</w:t>
            </w:r>
            <w:r>
              <w:rPr>
                <w:rFonts w:hint="eastAsia" w:ascii="宋体" w:hAnsi="宋体" w:cs="宋体"/>
                <w:color w:val="000000"/>
                <w:kern w:val="0"/>
                <w:sz w:val="28"/>
                <w:szCs w:val="28"/>
              </w:rPr>
              <w:tab/>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tabs>
                <w:tab w:val="left" w:pos="3706"/>
              </w:tabs>
              <w:jc w:val="left"/>
              <w:rPr>
                <w:rFonts w:ascii="宋体" w:hAnsi="宋体" w:cs="宋体"/>
                <w:color w:val="000000"/>
                <w:kern w:val="0"/>
                <w:sz w:val="28"/>
                <w:szCs w:val="28"/>
              </w:rPr>
            </w:pPr>
            <w:r>
              <w:rPr>
                <w:rFonts w:hint="eastAsia" w:ascii="宋体" w:hAnsi="宋体" w:cs="宋体"/>
                <w:color w:val="000000"/>
                <w:kern w:val="0"/>
                <w:sz w:val="28"/>
                <w:szCs w:val="28"/>
              </w:rPr>
              <w:t>分级管控和隐患排查预防体系建设情况</w:t>
            </w:r>
          </w:p>
        </w:tc>
        <w:tc>
          <w:tcPr>
            <w:tcW w:w="175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c>
          <w:tcPr>
            <w:tcW w:w="1467"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Layout w:type="fixed"/>
          <w:tblCellMar>
            <w:top w:w="0" w:type="dxa"/>
            <w:left w:w="108" w:type="dxa"/>
            <w:bottom w:w="0" w:type="dxa"/>
            <w:right w:w="108" w:type="dxa"/>
          </w:tblCellMar>
        </w:tblPrEx>
        <w:trPr>
          <w:trHeight w:val="70"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制定完善安全生产应急预案</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完善事故现场救援指挥和组织协调机制</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restart"/>
            <w:tcBorders>
              <w:top w:val="nil"/>
              <w:left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日常工作</w:t>
            </w: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近期是否开展安全生产督导检查工作</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left w:val="single" w:color="auto"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经常开展安全生产检查</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left w:val="single" w:color="auto"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jc w:val="left"/>
              <w:rPr>
                <w:rFonts w:ascii="宋体" w:cs="宋体"/>
                <w:color w:val="000000"/>
                <w:kern w:val="0"/>
                <w:sz w:val="28"/>
                <w:szCs w:val="28"/>
              </w:rPr>
            </w:pPr>
            <w:r>
              <w:rPr>
                <w:rFonts w:hint="eastAsia" w:ascii="宋体" w:hAnsi="宋体" w:cs="宋体"/>
                <w:color w:val="000000"/>
                <w:kern w:val="0"/>
                <w:sz w:val="28"/>
                <w:szCs w:val="28"/>
              </w:rPr>
              <w:t>农机安全舆论宣传</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left w:val="single" w:color="auto"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tabs>
                <w:tab w:val="left" w:pos="1080"/>
              </w:tabs>
              <w:jc w:val="left"/>
              <w:rPr>
                <w:rFonts w:ascii="宋体" w:cs="宋体"/>
                <w:color w:val="000000" w:themeColor="text1"/>
                <w:kern w:val="0"/>
                <w:sz w:val="28"/>
                <w:szCs w:val="28"/>
                <w14:textFill>
                  <w14:solidFill>
                    <w14:schemeClr w14:val="tx1"/>
                  </w14:solidFill>
                </w14:textFill>
              </w:rPr>
            </w:pPr>
            <w:r>
              <w:rPr>
                <w:rFonts w:hint="eastAsia" w:ascii="宋体" w:cs="宋体"/>
                <w:color w:val="000000" w:themeColor="text1"/>
                <w:kern w:val="0"/>
                <w:sz w:val="28"/>
                <w:szCs w:val="28"/>
                <w14:textFill>
                  <w14:solidFill>
                    <w14:schemeClr w14:val="tx1"/>
                  </w14:solidFill>
                </w14:textFill>
              </w:rPr>
              <w:t>农机安全技术检验和隐患排查治理工作</w:t>
            </w:r>
          </w:p>
        </w:tc>
        <w:tc>
          <w:tcPr>
            <w:tcW w:w="1759"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c>
          <w:tcPr>
            <w:tcW w:w="1467" w:type="dxa"/>
            <w:tcBorders>
              <w:top w:val="nil"/>
              <w:left w:val="nil"/>
              <w:bottom w:val="single" w:color="auto" w:sz="4" w:space="0"/>
              <w:right w:val="single" w:color="auto"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405" w:hRule="atLeast"/>
        </w:trPr>
        <w:tc>
          <w:tcPr>
            <w:tcW w:w="817" w:type="dxa"/>
            <w:vMerge w:val="continue"/>
            <w:tcBorders>
              <w:left w:val="single" w:color="auto" w:sz="4" w:space="0"/>
              <w:bottom w:val="single" w:color="000000" w:sz="4" w:space="0"/>
              <w:right w:val="single" w:color="auto" w:sz="4" w:space="0"/>
            </w:tcBorders>
            <w:vAlign w:val="center"/>
          </w:tcPr>
          <w:p>
            <w:pPr>
              <w:widowControl/>
              <w:jc w:val="left"/>
              <w:rPr>
                <w:rFonts w:ascii="宋体" w:cs="宋体"/>
                <w:color w:val="000000"/>
                <w:kern w:val="0"/>
                <w:sz w:val="28"/>
                <w:szCs w:val="28"/>
              </w:rPr>
            </w:pPr>
          </w:p>
        </w:tc>
        <w:tc>
          <w:tcPr>
            <w:tcW w:w="5245" w:type="dxa"/>
            <w:gridSpan w:val="2"/>
            <w:tcBorders>
              <w:top w:val="nil"/>
              <w:left w:val="nil"/>
              <w:bottom w:val="single" w:color="auto" w:sz="4" w:space="0"/>
              <w:right w:val="single" w:color="auto" w:sz="4" w:space="0"/>
            </w:tcBorders>
            <w:vAlign w:val="center"/>
          </w:tcPr>
          <w:p>
            <w:pPr>
              <w:widowControl/>
              <w:tabs>
                <w:tab w:val="left" w:pos="1080"/>
              </w:tabs>
              <w:jc w:val="left"/>
              <w:rPr>
                <w:rFonts w:ascii="宋体" w:cs="宋体"/>
                <w:color w:val="000000" w:themeColor="text1"/>
                <w:kern w:val="0"/>
                <w:sz w:val="28"/>
                <w:szCs w:val="28"/>
                <w14:textFill>
                  <w14:solidFill>
                    <w14:schemeClr w14:val="tx1"/>
                  </w14:solidFill>
                </w14:textFill>
              </w:rPr>
            </w:pPr>
            <w:r>
              <w:rPr>
                <w:rFonts w:hint="eastAsia" w:ascii="宋体" w:cs="宋体"/>
                <w:color w:val="000000" w:themeColor="text1"/>
                <w:kern w:val="0"/>
                <w:sz w:val="28"/>
                <w:szCs w:val="28"/>
                <w14:textFill>
                  <w14:solidFill>
                    <w14:schemeClr w14:val="tx1"/>
                  </w14:solidFill>
                </w14:textFill>
              </w:rPr>
              <w:t>变型拖拉机治理工作</w:t>
            </w:r>
          </w:p>
        </w:tc>
        <w:tc>
          <w:tcPr>
            <w:tcW w:w="1759"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c>
          <w:tcPr>
            <w:tcW w:w="1467"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8"/>
                <w:szCs w:val="28"/>
              </w:rPr>
            </w:pPr>
          </w:p>
        </w:tc>
      </w:tr>
      <w:tr>
        <w:tblPrEx>
          <w:tblLayout w:type="fixed"/>
          <w:tblCellMar>
            <w:top w:w="0" w:type="dxa"/>
            <w:left w:w="108" w:type="dxa"/>
            <w:bottom w:w="0" w:type="dxa"/>
            <w:right w:w="108" w:type="dxa"/>
          </w:tblCellMar>
        </w:tblPrEx>
        <w:trPr>
          <w:trHeight w:val="624" w:hRule="atLeast"/>
        </w:trPr>
        <w:tc>
          <w:tcPr>
            <w:tcW w:w="817" w:type="dxa"/>
            <w:vMerge w:val="restart"/>
            <w:tcBorders>
              <w:top w:val="nil"/>
              <w:left w:val="single" w:color="auto" w:sz="4" w:space="0"/>
              <w:bottom w:val="single" w:color="000000" w:sz="4" w:space="0"/>
              <w:right w:val="nil"/>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亮点工作</w:t>
            </w:r>
          </w:p>
        </w:tc>
        <w:tc>
          <w:tcPr>
            <w:tcW w:w="8471" w:type="dxa"/>
            <w:gridSpan w:val="4"/>
            <w:vMerge w:val="restart"/>
            <w:tcBorders>
              <w:top w:val="single" w:color="auto" w:sz="4" w:space="0"/>
              <w:left w:val="single" w:color="auto" w:sz="4" w:space="0"/>
              <w:bottom w:val="single" w:color="000000" w:sz="4" w:space="0"/>
              <w:right w:val="single" w:color="000000" w:sz="4" w:space="0"/>
            </w:tcBorders>
            <w:vAlign w:val="center"/>
          </w:tcPr>
          <w:p>
            <w:pPr>
              <w:widowControl/>
              <w:jc w:val="center"/>
              <w:rPr>
                <w:rFonts w:ascii="宋体" w:cs="宋体"/>
                <w:color w:val="000000"/>
                <w:kern w:val="0"/>
                <w:sz w:val="28"/>
                <w:szCs w:val="28"/>
              </w:rPr>
            </w:pPr>
            <w:r>
              <w:rPr>
                <w:rFonts w:hint="eastAsia" w:ascii="宋体" w:hAnsi="宋体" w:cs="宋体"/>
                <w:color w:val="000000"/>
                <w:kern w:val="0"/>
                <w:sz w:val="28"/>
                <w:szCs w:val="28"/>
              </w:rPr>
              <w:t>　</w:t>
            </w:r>
          </w:p>
        </w:tc>
      </w:tr>
      <w:tr>
        <w:tblPrEx>
          <w:tblLayout w:type="fixed"/>
          <w:tblCellMar>
            <w:top w:w="0" w:type="dxa"/>
            <w:left w:w="108" w:type="dxa"/>
            <w:bottom w:w="0" w:type="dxa"/>
            <w:right w:w="108" w:type="dxa"/>
          </w:tblCellMar>
        </w:tblPrEx>
        <w:trPr>
          <w:trHeight w:val="749" w:hRule="atLeast"/>
        </w:trPr>
        <w:tc>
          <w:tcPr>
            <w:tcW w:w="817" w:type="dxa"/>
            <w:vMerge w:val="continue"/>
            <w:tcBorders>
              <w:top w:val="nil"/>
              <w:left w:val="single" w:color="auto" w:sz="4" w:space="0"/>
              <w:bottom w:val="single" w:color="000000" w:sz="4" w:space="0"/>
              <w:right w:val="nil"/>
            </w:tcBorders>
            <w:vAlign w:val="center"/>
          </w:tcPr>
          <w:p>
            <w:pPr>
              <w:widowControl/>
              <w:jc w:val="left"/>
              <w:rPr>
                <w:rFonts w:ascii="宋体" w:cs="宋体"/>
                <w:color w:val="000000"/>
                <w:kern w:val="0"/>
                <w:sz w:val="28"/>
                <w:szCs w:val="28"/>
              </w:rPr>
            </w:pPr>
          </w:p>
        </w:tc>
        <w:tc>
          <w:tcPr>
            <w:tcW w:w="8471" w:type="dxa"/>
            <w:gridSpan w:val="4"/>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宋体" w:cs="宋体"/>
                <w:color w:val="000000"/>
                <w:kern w:val="0"/>
                <w:sz w:val="28"/>
                <w:szCs w:val="28"/>
              </w:rPr>
            </w:pPr>
          </w:p>
        </w:tc>
      </w:tr>
      <w:tr>
        <w:tblPrEx>
          <w:tblLayout w:type="fixed"/>
          <w:tblCellMar>
            <w:top w:w="0" w:type="dxa"/>
            <w:left w:w="108" w:type="dxa"/>
            <w:bottom w:w="0" w:type="dxa"/>
            <w:right w:w="108" w:type="dxa"/>
          </w:tblCellMar>
        </w:tblPrEx>
        <w:trPr>
          <w:trHeight w:val="1275" w:hRule="atLeast"/>
        </w:trPr>
        <w:tc>
          <w:tcPr>
            <w:tcW w:w="4644" w:type="dxa"/>
            <w:gridSpan w:val="2"/>
            <w:vMerge w:val="restart"/>
            <w:tcBorders>
              <w:top w:val="single" w:color="auto" w:sz="4" w:space="0"/>
              <w:left w:val="single" w:color="auto" w:sz="4" w:space="0"/>
              <w:bottom w:val="single" w:color="000000" w:sz="4" w:space="0"/>
              <w:right w:val="single" w:color="000000" w:sz="4" w:space="0"/>
            </w:tcBorders>
            <w:vAlign w:val="center"/>
          </w:tcPr>
          <w:p>
            <w:pPr>
              <w:widowControl/>
              <w:spacing w:line="360" w:lineRule="auto"/>
              <w:rPr>
                <w:rFonts w:ascii="宋体" w:cs="宋体"/>
                <w:color w:val="000000"/>
                <w:kern w:val="0"/>
                <w:sz w:val="28"/>
                <w:szCs w:val="28"/>
              </w:rPr>
            </w:pPr>
            <w:r>
              <w:rPr>
                <w:rFonts w:hint="eastAsia" w:ascii="宋体" w:hAnsi="宋体" w:cs="宋体"/>
                <w:color w:val="000000"/>
                <w:kern w:val="0"/>
                <w:sz w:val="28"/>
                <w:szCs w:val="28"/>
              </w:rPr>
              <w:t>被检查单位领导签字：</w:t>
            </w:r>
          </w:p>
        </w:tc>
        <w:tc>
          <w:tcPr>
            <w:tcW w:w="4644" w:type="dxa"/>
            <w:gridSpan w:val="3"/>
            <w:vMerge w:val="restart"/>
            <w:tcBorders>
              <w:top w:val="single" w:color="auto" w:sz="4" w:space="0"/>
              <w:left w:val="single" w:color="auto" w:sz="4" w:space="0"/>
              <w:bottom w:val="single" w:color="000000" w:sz="4" w:space="0"/>
              <w:right w:val="single" w:color="000000" w:sz="4" w:space="0"/>
            </w:tcBorders>
            <w:vAlign w:val="center"/>
          </w:tcPr>
          <w:p>
            <w:pPr>
              <w:widowControl/>
              <w:spacing w:line="360" w:lineRule="auto"/>
              <w:rPr>
                <w:rFonts w:ascii="宋体" w:cs="宋体"/>
                <w:color w:val="000000"/>
                <w:kern w:val="0"/>
                <w:sz w:val="28"/>
                <w:szCs w:val="28"/>
              </w:rPr>
            </w:pPr>
            <w:r>
              <w:rPr>
                <w:rFonts w:hint="eastAsia" w:ascii="宋体" w:cs="宋体"/>
                <w:color w:val="000000"/>
                <w:kern w:val="0"/>
                <w:sz w:val="28"/>
                <w:szCs w:val="28"/>
              </w:rPr>
              <w:t>参加检查人员签字：</w:t>
            </w:r>
          </w:p>
        </w:tc>
      </w:tr>
      <w:tr>
        <w:tblPrEx>
          <w:tblLayout w:type="fixed"/>
          <w:tblCellMar>
            <w:top w:w="0" w:type="dxa"/>
            <w:left w:w="108" w:type="dxa"/>
            <w:bottom w:w="0" w:type="dxa"/>
            <w:right w:w="108" w:type="dxa"/>
          </w:tblCellMar>
        </w:tblPrEx>
        <w:trPr>
          <w:trHeight w:val="624" w:hRule="atLeast"/>
        </w:trPr>
        <w:tc>
          <w:tcPr>
            <w:tcW w:w="4644" w:type="dxa"/>
            <w:gridSpan w:val="2"/>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8"/>
                <w:szCs w:val="28"/>
              </w:rPr>
            </w:pPr>
          </w:p>
        </w:tc>
        <w:tc>
          <w:tcPr>
            <w:tcW w:w="4644" w:type="dxa"/>
            <w:gridSpan w:val="3"/>
            <w:vMerge w:val="continue"/>
            <w:tcBorders>
              <w:top w:val="single" w:color="auto" w:sz="4" w:space="0"/>
              <w:left w:val="single" w:color="auto" w:sz="4" w:space="0"/>
              <w:bottom w:val="single" w:color="000000" w:sz="4" w:space="0"/>
              <w:right w:val="single" w:color="000000" w:sz="4" w:space="0"/>
            </w:tcBorders>
            <w:vAlign w:val="center"/>
          </w:tcPr>
          <w:p>
            <w:pPr>
              <w:widowControl/>
              <w:jc w:val="left"/>
              <w:rPr>
                <w:rFonts w:ascii="仿宋_GB2312" w:hAnsi="宋体" w:eastAsia="仿宋_GB2312" w:cs="宋体"/>
                <w:color w:val="000000"/>
                <w:kern w:val="0"/>
                <w:sz w:val="28"/>
                <w:szCs w:val="28"/>
              </w:rPr>
            </w:pPr>
          </w:p>
        </w:tc>
      </w:tr>
    </w:tbl>
    <w:p>
      <w:pPr>
        <w:rPr>
          <w:sz w:val="28"/>
          <w:szCs w:val="28"/>
        </w:rPr>
      </w:pPr>
    </w:p>
    <w:sectPr>
      <w:pgSz w:w="11906" w:h="16838"/>
      <w:pgMar w:top="1984" w:right="1474" w:bottom="1701" w:left="158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仿宋">
    <w:altName w:val="仿宋_GB2312"/>
    <w:panose1 w:val="02010600040101010101"/>
    <w:charset w:val="86"/>
    <w:family w:val="auto"/>
    <w:pitch w:val="default"/>
    <w:sig w:usb0="00000000" w:usb1="00000000" w:usb2="00000010" w:usb3="00000000" w:csb0="0004009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7D196B"/>
    <w:rsid w:val="0001522C"/>
    <w:rsid w:val="000A65A9"/>
    <w:rsid w:val="00183ADA"/>
    <w:rsid w:val="00184087"/>
    <w:rsid w:val="00231495"/>
    <w:rsid w:val="00236639"/>
    <w:rsid w:val="002537D8"/>
    <w:rsid w:val="00262D37"/>
    <w:rsid w:val="002C73CA"/>
    <w:rsid w:val="002D5775"/>
    <w:rsid w:val="00352626"/>
    <w:rsid w:val="003B4DB5"/>
    <w:rsid w:val="00410F93"/>
    <w:rsid w:val="0045484A"/>
    <w:rsid w:val="004D0125"/>
    <w:rsid w:val="005933F6"/>
    <w:rsid w:val="005E7BE2"/>
    <w:rsid w:val="005F162E"/>
    <w:rsid w:val="00613A6F"/>
    <w:rsid w:val="00617ED9"/>
    <w:rsid w:val="0069572C"/>
    <w:rsid w:val="006B1B10"/>
    <w:rsid w:val="006D7D6E"/>
    <w:rsid w:val="006F1D64"/>
    <w:rsid w:val="00742249"/>
    <w:rsid w:val="00743F50"/>
    <w:rsid w:val="00776DC1"/>
    <w:rsid w:val="007866B7"/>
    <w:rsid w:val="00801D27"/>
    <w:rsid w:val="008F6313"/>
    <w:rsid w:val="009213D1"/>
    <w:rsid w:val="009672BC"/>
    <w:rsid w:val="00A91669"/>
    <w:rsid w:val="00B77F38"/>
    <w:rsid w:val="00C874F4"/>
    <w:rsid w:val="00D43370"/>
    <w:rsid w:val="00D43716"/>
    <w:rsid w:val="00D76537"/>
    <w:rsid w:val="00DB2485"/>
    <w:rsid w:val="00DE4CED"/>
    <w:rsid w:val="00E043DB"/>
    <w:rsid w:val="00E53C1F"/>
    <w:rsid w:val="00E9004B"/>
    <w:rsid w:val="00ED7890"/>
    <w:rsid w:val="00EF2A0F"/>
    <w:rsid w:val="00F03624"/>
    <w:rsid w:val="00F31712"/>
    <w:rsid w:val="04220F20"/>
    <w:rsid w:val="08B56A21"/>
    <w:rsid w:val="0BFB1B82"/>
    <w:rsid w:val="0D3B6AE4"/>
    <w:rsid w:val="0F2F743A"/>
    <w:rsid w:val="158A0CC7"/>
    <w:rsid w:val="168431B4"/>
    <w:rsid w:val="19401C5A"/>
    <w:rsid w:val="1AB01113"/>
    <w:rsid w:val="1DC76757"/>
    <w:rsid w:val="1DDC7209"/>
    <w:rsid w:val="1E182FB6"/>
    <w:rsid w:val="20B16949"/>
    <w:rsid w:val="237D196B"/>
    <w:rsid w:val="24A537FC"/>
    <w:rsid w:val="24D46387"/>
    <w:rsid w:val="2ADC4CA2"/>
    <w:rsid w:val="2BD329CD"/>
    <w:rsid w:val="2C4A4A72"/>
    <w:rsid w:val="2E677D67"/>
    <w:rsid w:val="349B7C86"/>
    <w:rsid w:val="494E0574"/>
    <w:rsid w:val="4B9D17FE"/>
    <w:rsid w:val="50B2667F"/>
    <w:rsid w:val="50C747A4"/>
    <w:rsid w:val="543071D1"/>
    <w:rsid w:val="54A32D2E"/>
    <w:rsid w:val="5AA03F7D"/>
    <w:rsid w:val="5CC758B8"/>
    <w:rsid w:val="6069695F"/>
    <w:rsid w:val="6D380A7A"/>
    <w:rsid w:val="72337B74"/>
    <w:rsid w:val="72343298"/>
    <w:rsid w:val="74AF0135"/>
    <w:rsid w:val="760B509D"/>
    <w:rsid w:val="7DAE57E7"/>
    <w:rsid w:val="7DC076B4"/>
    <w:rsid w:val="7FB9286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spacing w:beforeAutospacing="1" w:afterAutospacing="1"/>
      <w:jc w:val="left"/>
    </w:pPr>
    <w:rPr>
      <w:rFonts w:cs="Times New Roman"/>
      <w:kern w:val="0"/>
      <w:sz w:val="24"/>
    </w:rPr>
  </w:style>
  <w:style w:type="character" w:styleId="6">
    <w:name w:val="Hyperlink"/>
    <w:basedOn w:val="5"/>
    <w:qFormat/>
    <w:uiPriority w:val="0"/>
    <w:rPr>
      <w:color w:val="0000FF"/>
      <w:u w:val="single"/>
    </w:rPr>
  </w:style>
  <w:style w:type="character" w:customStyle="1" w:styleId="8">
    <w:name w:val="页眉 Char"/>
    <w:basedOn w:val="5"/>
    <w:link w:val="3"/>
    <w:qFormat/>
    <w:uiPriority w:val="0"/>
    <w:rPr>
      <w:rFonts w:asciiTheme="minorHAnsi" w:hAnsiTheme="minorHAnsi" w:eastAsiaTheme="minorEastAsia" w:cstheme="minorBidi"/>
      <w:kern w:val="2"/>
      <w:sz w:val="18"/>
      <w:szCs w:val="18"/>
    </w:rPr>
  </w:style>
  <w:style w:type="character" w:customStyle="1" w:styleId="9">
    <w:name w:val="页脚 Char"/>
    <w:basedOn w:val="5"/>
    <w:link w:val="2"/>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2C6DCA-82C7-49C6-A972-3603248FEC93}">
  <ds:schemaRefs/>
</ds:datastoreItem>
</file>

<file path=docProps/app.xml><?xml version="1.0" encoding="utf-8"?>
<Properties xmlns="http://schemas.openxmlformats.org/officeDocument/2006/extended-properties" xmlns:vt="http://schemas.openxmlformats.org/officeDocument/2006/docPropsVTypes">
  <Template>Normal</Template>
  <Pages>11</Pages>
  <Words>720</Words>
  <Characters>4109</Characters>
  <Lines>34</Lines>
  <Paragraphs>9</Paragraphs>
  <TotalTime>5</TotalTime>
  <ScaleCrop>false</ScaleCrop>
  <LinksUpToDate>false</LinksUpToDate>
  <CharactersWithSpaces>4820</CharactersWithSpaces>
  <Application>WPS Office_10.8.2.6784_F1E327BC-269C-435d-A152-05C5408002CA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2019-03-28T08:45:00Z</dcterms:created>
  <dc:creator>Administrator</dc:creator>
  <cp:lastModifiedBy>肖允功</cp:lastModifiedBy>
  <cp:lastPrinted>2019-04-01T01:19:00Z</cp:lastPrinted>
  <dcterms:modified xsi:type="dcterms:W3CDTF">2019-04-12T01:02:01Z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