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仿宋" w:hAnsi="仿宋" w:eastAsia="仿宋" w:cs="仿宋"/>
          <w:sz w:val="32"/>
          <w:szCs w:val="32"/>
        </w:rPr>
      </w:pPr>
      <w:r>
        <w:rPr>
          <w:rFonts w:hint="eastAsia" w:ascii="黑体" w:hAnsi="黑体" w:eastAsia="黑体"/>
          <w:bCs/>
          <w:sz w:val="32"/>
          <w:szCs w:val="32"/>
        </w:rPr>
        <w:t>附件</w:t>
      </w:r>
    </w:p>
    <w:p>
      <w:pPr>
        <w:rPr>
          <w:rFonts w:hint="eastAsia" w:ascii="仿宋" w:hAnsi="仿宋" w:eastAsia="仿宋" w:cs="仿宋"/>
          <w:b/>
          <w:bCs/>
          <w:sz w:val="32"/>
          <w:szCs w:val="32"/>
        </w:rPr>
      </w:pPr>
    </w:p>
    <w:p>
      <w:pPr>
        <w:spacing w:line="600" w:lineRule="exact"/>
        <w:jc w:val="center"/>
        <w:rPr>
          <w:rFonts w:hint="eastAsia" w:ascii="方正小标宋_GBK" w:hAnsi="方正小标宋_GBK" w:eastAsia="方正小标宋_GBK" w:cs="方正小标宋_GBK"/>
          <w:snapToGrid w:val="0"/>
          <w:kern w:val="0"/>
          <w:sz w:val="44"/>
          <w:szCs w:val="44"/>
        </w:rPr>
      </w:pPr>
      <w:r>
        <w:rPr>
          <w:rFonts w:hint="eastAsia" w:ascii="仿宋" w:hAnsi="仿宋" w:eastAsia="仿宋" w:cs="仿宋"/>
          <w:b/>
          <w:bCs/>
          <w:sz w:val="32"/>
          <w:szCs w:val="32"/>
        </w:rPr>
        <w:t xml:space="preserve">  </w:t>
      </w:r>
      <w:r>
        <w:rPr>
          <w:rFonts w:hint="eastAsia" w:ascii="方正小标宋_GBK" w:hAnsi="方正小标宋_GBK" w:eastAsia="方正小标宋_GBK" w:cs="方正小标宋_GBK"/>
          <w:snapToGrid w:val="0"/>
          <w:kern w:val="0"/>
          <w:sz w:val="44"/>
          <w:szCs w:val="44"/>
        </w:rPr>
        <w:t>吉林省2020年玉米免耕播种机质量调查</w:t>
      </w:r>
    </w:p>
    <w:p>
      <w:pPr>
        <w:spacing w:line="600" w:lineRule="exact"/>
        <w:jc w:val="center"/>
        <w:rPr>
          <w:rFonts w:hint="eastAsia" w:ascii="方正小标宋_GBK" w:hAnsi="方正小标宋_GBK" w:eastAsia="方正小标宋_GBK" w:cs="方正小标宋_GBK"/>
          <w:snapToGrid w:val="0"/>
          <w:kern w:val="0"/>
          <w:sz w:val="44"/>
          <w:szCs w:val="44"/>
        </w:rPr>
      </w:pPr>
      <w:r>
        <w:rPr>
          <w:rFonts w:hint="eastAsia" w:ascii="方正小标宋_GBK" w:hAnsi="方正小标宋_GBK" w:eastAsia="方正小标宋_GBK" w:cs="方正小标宋_GBK"/>
          <w:snapToGrid w:val="0"/>
          <w:kern w:val="0"/>
          <w:sz w:val="44"/>
          <w:szCs w:val="44"/>
        </w:rPr>
        <w:t>实 施 方 案</w:t>
      </w:r>
    </w:p>
    <w:p>
      <w:pPr>
        <w:rPr>
          <w:rFonts w:hint="eastAsia" w:ascii="仿宋" w:hAnsi="仿宋" w:eastAsia="仿宋" w:cs="仿宋"/>
          <w:sz w:val="32"/>
          <w:szCs w:val="32"/>
        </w:rPr>
      </w:pPr>
      <w:r>
        <w:rPr>
          <w:rFonts w:hint="eastAsia" w:ascii="仿宋" w:hAnsi="仿宋" w:eastAsia="仿宋" w:cs="仿宋"/>
          <w:sz w:val="32"/>
          <w:szCs w:val="32"/>
        </w:rPr>
        <w:t xml:space="preserve">    </w:t>
      </w:r>
    </w:p>
    <w:p>
      <w:pPr>
        <w:rPr>
          <w:rFonts w:hint="eastAsia" w:ascii="仿宋" w:hAnsi="仿宋" w:eastAsia="仿宋" w:cs="仿宋"/>
          <w:sz w:val="32"/>
          <w:szCs w:val="32"/>
        </w:rPr>
      </w:pPr>
      <w:r>
        <w:rPr>
          <w:rFonts w:hint="eastAsia" w:ascii="仿宋" w:hAnsi="仿宋" w:eastAsia="仿宋" w:cs="仿宋"/>
          <w:sz w:val="32"/>
          <w:szCs w:val="32"/>
        </w:rPr>
        <w:t xml:space="preserve">    为落实好《农业农村部农业机械化管理司关于下达</w:t>
      </w:r>
      <w:r>
        <w:rPr>
          <w:rFonts w:ascii="仿宋" w:hAnsi="仿宋" w:eastAsia="仿宋" w:cs="仿宋"/>
          <w:sz w:val="32"/>
          <w:szCs w:val="32"/>
        </w:rPr>
        <w:t>2020</w:t>
      </w:r>
      <w:r>
        <w:rPr>
          <w:rFonts w:hint="eastAsia" w:ascii="仿宋" w:hAnsi="仿宋" w:eastAsia="仿宋" w:cs="仿宋"/>
          <w:sz w:val="32"/>
          <w:szCs w:val="32"/>
        </w:rPr>
        <w:t>年农业机械质量调查计划的通知》（农机管〔</w:t>
      </w:r>
      <w:r>
        <w:rPr>
          <w:rFonts w:ascii="仿宋" w:hAnsi="仿宋" w:eastAsia="仿宋" w:cs="仿宋"/>
          <w:sz w:val="32"/>
          <w:szCs w:val="32"/>
        </w:rPr>
        <w:t>2020</w:t>
      </w:r>
      <w:r>
        <w:rPr>
          <w:rFonts w:hint="eastAsia" w:ascii="仿宋" w:hAnsi="仿宋" w:eastAsia="仿宋" w:cs="仿宋"/>
          <w:sz w:val="32"/>
          <w:szCs w:val="32"/>
        </w:rPr>
        <w:t>〕</w:t>
      </w:r>
      <w:r>
        <w:rPr>
          <w:rFonts w:ascii="仿宋" w:hAnsi="仿宋" w:eastAsia="仿宋" w:cs="仿宋"/>
          <w:sz w:val="32"/>
          <w:szCs w:val="32"/>
        </w:rPr>
        <w:t>8</w:t>
      </w:r>
      <w:r>
        <w:rPr>
          <w:rFonts w:hint="eastAsia" w:ascii="仿宋" w:hAnsi="仿宋" w:eastAsia="仿宋" w:cs="仿宋"/>
          <w:sz w:val="32"/>
          <w:szCs w:val="32"/>
        </w:rPr>
        <w:t>号），确保2020年玉米免耕播种机质量调查工作顺利、有效实施，按照农业农村部农机化管理司批复的《2020年玉米免耕播种机质量调查实施方案》（以下简称“部方案”）的要求结合我省实际情况制定本方案。</w:t>
      </w:r>
    </w:p>
    <w:p>
      <w:pPr>
        <w:spacing w:line="360" w:lineRule="auto"/>
        <w:ind w:firstLine="640" w:firstLineChars="200"/>
        <w:rPr>
          <w:rFonts w:hint="eastAsia" w:ascii="黑体" w:hAnsi="黑体" w:eastAsia="黑体"/>
          <w:bCs/>
          <w:sz w:val="32"/>
          <w:szCs w:val="32"/>
        </w:rPr>
      </w:pPr>
      <w:r>
        <w:rPr>
          <w:rFonts w:hint="eastAsia" w:ascii="黑体" w:hAnsi="黑体" w:eastAsia="黑体"/>
          <w:sz w:val="32"/>
          <w:szCs w:val="32"/>
        </w:rPr>
        <w:t>一、</w:t>
      </w:r>
      <w:r>
        <w:rPr>
          <w:rFonts w:hint="eastAsia" w:ascii="黑体" w:hAnsi="黑体" w:eastAsia="黑体"/>
          <w:bCs/>
          <w:sz w:val="32"/>
          <w:szCs w:val="32"/>
        </w:rPr>
        <w:t>相关依据</w:t>
      </w:r>
    </w:p>
    <w:p>
      <w:pPr>
        <w:ind w:firstLine="640" w:firstLineChars="20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rPr>
        <w:t>1.《中华人民共和国农业机械化促进法》</w:t>
      </w:r>
      <w:r>
        <w:rPr>
          <w:rFonts w:hint="eastAsia" w:ascii="仿宋" w:hAnsi="仿宋" w:eastAsia="仿宋" w:cs="仿宋"/>
          <w:color w:val="000000"/>
          <w:sz w:val="32"/>
          <w:szCs w:val="32"/>
          <w:lang w:val="en-US" w:eastAsia="zh-CN"/>
        </w:rPr>
        <w:t>;</w:t>
      </w:r>
    </w:p>
    <w:p>
      <w:pPr>
        <w:ind w:firstLine="640" w:firstLineChars="20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rPr>
        <w:t>2.《农业机械质量调查办法》</w:t>
      </w:r>
      <w:r>
        <w:rPr>
          <w:rFonts w:hint="eastAsia" w:ascii="仿宋" w:hAnsi="仿宋" w:eastAsia="仿宋" w:cs="仿宋"/>
          <w:color w:val="000000"/>
          <w:sz w:val="32"/>
          <w:szCs w:val="32"/>
          <w:lang w:val="en-US" w:eastAsia="zh-CN"/>
        </w:rPr>
        <w:t>;</w:t>
      </w:r>
    </w:p>
    <w:p>
      <w:pPr>
        <w:ind w:firstLine="640" w:firstLineChars="20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rPr>
        <w:t>3.</w:t>
      </w:r>
      <w:r>
        <w:rPr>
          <w:rFonts w:ascii="仿宋" w:hAnsi="仿宋" w:eastAsia="仿宋" w:cs="仿宋"/>
          <w:color w:val="000000"/>
          <w:sz w:val="32"/>
          <w:szCs w:val="32"/>
        </w:rPr>
        <w:t xml:space="preserve"> </w:t>
      </w:r>
      <w:r>
        <w:rPr>
          <w:rFonts w:hint="eastAsia" w:ascii="仿宋" w:hAnsi="仿宋" w:eastAsia="仿宋" w:cs="仿宋"/>
          <w:color w:val="000000"/>
          <w:sz w:val="32"/>
          <w:szCs w:val="32"/>
        </w:rPr>
        <w:t>DG/T 028-2016 《免耕施肥播种机推广鉴定大纲》</w:t>
      </w:r>
      <w:r>
        <w:rPr>
          <w:rFonts w:hint="eastAsia" w:ascii="仿宋" w:hAnsi="仿宋" w:eastAsia="仿宋" w:cs="仿宋"/>
          <w:color w:val="000000"/>
          <w:sz w:val="32"/>
          <w:szCs w:val="32"/>
          <w:lang w:val="en-US" w:eastAsia="zh-CN"/>
        </w:rPr>
        <w:t>;</w:t>
      </w:r>
    </w:p>
    <w:p>
      <w:pPr>
        <w:ind w:firstLine="640" w:firstLineChars="20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rPr>
        <w:t>4. DG/T 028-2019 《免耕播种机推广鉴定大纲》</w:t>
      </w:r>
      <w:r>
        <w:rPr>
          <w:rFonts w:hint="eastAsia" w:ascii="仿宋" w:hAnsi="仿宋" w:eastAsia="仿宋" w:cs="仿宋"/>
          <w:color w:val="000000"/>
          <w:sz w:val="32"/>
          <w:szCs w:val="32"/>
          <w:lang w:val="en-US" w:eastAsia="zh-CN"/>
        </w:rPr>
        <w:t>;</w:t>
      </w:r>
    </w:p>
    <w:p>
      <w:pPr>
        <w:ind w:firstLine="640" w:firstLineChars="20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rPr>
        <w:t>5. GB/T 5667—2008《农业机械 生产试验方法》</w:t>
      </w:r>
      <w:r>
        <w:rPr>
          <w:rFonts w:hint="eastAsia" w:ascii="仿宋" w:hAnsi="仿宋" w:eastAsia="仿宋" w:cs="仿宋"/>
          <w:color w:val="000000"/>
          <w:sz w:val="32"/>
          <w:szCs w:val="32"/>
          <w:lang w:eastAsia="zh-CN"/>
        </w:rPr>
        <w:t>。</w:t>
      </w:r>
    </w:p>
    <w:p>
      <w:pPr>
        <w:adjustRightInd w:val="0"/>
        <w:ind w:firstLine="704" w:firstLineChars="220"/>
        <w:rPr>
          <w:rFonts w:hint="eastAsia" w:ascii="黑体" w:hAnsi="黑体" w:eastAsia="黑体"/>
          <w:sz w:val="32"/>
          <w:szCs w:val="32"/>
        </w:rPr>
      </w:pPr>
      <w:r>
        <w:rPr>
          <w:rFonts w:hint="eastAsia" w:ascii="黑体" w:hAnsi="黑体" w:eastAsia="黑体"/>
          <w:sz w:val="32"/>
          <w:szCs w:val="32"/>
        </w:rPr>
        <w:t>二、调查内容</w:t>
      </w:r>
    </w:p>
    <w:p>
      <w:pPr>
        <w:ind w:firstLine="640" w:firstLineChars="200"/>
        <w:rPr>
          <w:rFonts w:ascii="仿宋" w:hAnsi="仿宋" w:eastAsia="仿宋" w:cs="仿宋"/>
          <w:sz w:val="32"/>
          <w:szCs w:val="32"/>
        </w:rPr>
      </w:pPr>
      <w:r>
        <w:rPr>
          <w:rFonts w:hint="eastAsia" w:ascii="仿宋" w:hAnsi="仿宋" w:eastAsia="仿宋" w:cs="仿宋"/>
          <w:sz w:val="32"/>
          <w:szCs w:val="32"/>
        </w:rPr>
        <w:t>了解2行、4行玉米免耕播种机生产企业及产品基本情况。调查在用2行、4行玉米免耕播种机产品安全性、可靠性、适用性和售后服务状况等方面的情况。</w:t>
      </w:r>
    </w:p>
    <w:p>
      <w:pPr>
        <w:adjustRightInd w:val="0"/>
        <w:ind w:firstLine="640" w:firstLineChars="200"/>
        <w:rPr>
          <w:rFonts w:hint="eastAsia" w:ascii="仿宋" w:hAnsi="仿宋" w:eastAsia="仿宋" w:cs="仿宋"/>
          <w:sz w:val="32"/>
          <w:szCs w:val="32"/>
        </w:rPr>
      </w:pPr>
      <w:r>
        <w:rPr>
          <w:rFonts w:hint="eastAsia" w:ascii="黑体" w:hAnsi="黑体" w:eastAsia="黑体"/>
          <w:sz w:val="32"/>
          <w:szCs w:val="32"/>
        </w:rPr>
        <w:t>三、调查对象、范围和抽样方案</w:t>
      </w:r>
    </w:p>
    <w:p>
      <w:pPr>
        <w:ind w:firstLine="643" w:firstLineChars="200"/>
        <w:rPr>
          <w:rFonts w:hint="eastAsia" w:ascii="仿宋" w:hAnsi="仿宋" w:eastAsia="仿宋" w:cs="仿宋"/>
          <w:color w:val="000000"/>
          <w:sz w:val="32"/>
          <w:szCs w:val="32"/>
        </w:rPr>
      </w:pPr>
      <w:r>
        <w:rPr>
          <w:rFonts w:hint="eastAsia" w:ascii="楷体" w:hAnsi="楷体" w:eastAsia="楷体" w:cs="楷体"/>
          <w:b/>
          <w:bCs/>
          <w:sz w:val="32"/>
          <w:szCs w:val="32"/>
        </w:rPr>
        <w:t>（一）</w:t>
      </w:r>
      <w:r>
        <w:rPr>
          <w:rFonts w:hint="eastAsia" w:ascii="楷体" w:hAnsi="楷体" w:eastAsia="楷体" w:cs="楷体"/>
          <w:color w:val="000000"/>
          <w:sz w:val="32"/>
          <w:szCs w:val="32"/>
        </w:rPr>
        <w:t>调查对象</w:t>
      </w:r>
      <w:r>
        <w:rPr>
          <w:rFonts w:hint="eastAsia" w:ascii="仿宋" w:hAnsi="仿宋" w:eastAsia="仿宋" w:cs="仿宋"/>
          <w:color w:val="000000"/>
          <w:sz w:val="32"/>
          <w:szCs w:val="32"/>
        </w:rPr>
        <w:t>。</w:t>
      </w:r>
    </w:p>
    <w:p>
      <w:pPr>
        <w:ind w:firstLine="640" w:firstLineChars="200"/>
        <w:rPr>
          <w:rFonts w:ascii="仿宋_GB2312" w:hAnsi="Times New Roman" w:eastAsia="仿宋_GB2312" w:cs="Times New Roman"/>
          <w:sz w:val="30"/>
          <w:szCs w:val="30"/>
        </w:rPr>
      </w:pPr>
      <w:r>
        <w:rPr>
          <w:rFonts w:hint="eastAsia" w:ascii="仿宋" w:hAnsi="仿宋" w:eastAsia="仿宋" w:cs="仿宋"/>
          <w:sz w:val="32"/>
          <w:szCs w:val="32"/>
        </w:rPr>
        <w:t>调查对象为2018年购买、使用满一个作业季节且享受农机购置补贴的2行、4行玉米免耕播种机产品。</w:t>
      </w:r>
    </w:p>
    <w:p>
      <w:pPr>
        <w:adjustRightInd w:val="0"/>
        <w:ind w:firstLine="643" w:firstLineChars="200"/>
        <w:rPr>
          <w:rFonts w:hint="eastAsia" w:ascii="仿宋" w:hAnsi="仿宋" w:eastAsia="仿宋" w:cs="仿宋"/>
          <w:color w:val="000000"/>
          <w:sz w:val="32"/>
          <w:szCs w:val="32"/>
        </w:rPr>
      </w:pPr>
      <w:r>
        <w:rPr>
          <w:rFonts w:hint="eastAsia" w:ascii="楷体" w:hAnsi="楷体" w:eastAsia="楷体" w:cs="楷体"/>
          <w:b/>
          <w:bCs/>
          <w:sz w:val="32"/>
          <w:szCs w:val="32"/>
        </w:rPr>
        <w:t>（二）</w:t>
      </w:r>
      <w:r>
        <w:rPr>
          <w:rFonts w:hint="eastAsia" w:ascii="楷体" w:hAnsi="楷体" w:eastAsia="楷体" w:cs="楷体"/>
          <w:color w:val="000000"/>
          <w:sz w:val="32"/>
          <w:szCs w:val="32"/>
        </w:rPr>
        <w:t>调查范围</w:t>
      </w:r>
      <w:r>
        <w:rPr>
          <w:rFonts w:hint="eastAsia" w:ascii="仿宋" w:hAnsi="仿宋" w:eastAsia="仿宋" w:cs="仿宋"/>
          <w:color w:val="000000"/>
          <w:sz w:val="32"/>
          <w:szCs w:val="32"/>
        </w:rPr>
        <w:t>。</w:t>
      </w:r>
    </w:p>
    <w:p>
      <w:pPr>
        <w:adjustRightInd w:val="0"/>
        <w:ind w:firstLine="640" w:firstLineChars="200"/>
        <w:rPr>
          <w:rFonts w:hint="eastAsia" w:ascii="仿宋" w:hAnsi="仿宋" w:eastAsia="仿宋" w:cs="仿宋"/>
          <w:color w:val="FF0000"/>
          <w:sz w:val="32"/>
          <w:szCs w:val="32"/>
        </w:rPr>
      </w:pPr>
      <w:r>
        <w:rPr>
          <w:rFonts w:hint="eastAsia" w:ascii="仿宋" w:hAnsi="仿宋" w:eastAsia="仿宋" w:cs="仿宋"/>
          <w:sz w:val="32"/>
          <w:szCs w:val="32"/>
        </w:rPr>
        <w:t>调查范围：长春市、吉林市、四平市、白城市、松原市、延边州所辖县（市、区）和公主岭市。</w:t>
      </w:r>
    </w:p>
    <w:p>
      <w:pPr>
        <w:adjustRightInd w:val="0"/>
        <w:ind w:firstLine="643" w:firstLineChars="200"/>
        <w:rPr>
          <w:rFonts w:hint="eastAsia" w:ascii="仿宋" w:hAnsi="仿宋" w:eastAsia="仿宋" w:cs="仿宋"/>
          <w:b/>
          <w:bCs/>
          <w:sz w:val="32"/>
          <w:szCs w:val="32"/>
        </w:rPr>
      </w:pPr>
      <w:r>
        <w:rPr>
          <w:rFonts w:hint="eastAsia" w:ascii="楷体" w:hAnsi="楷体" w:eastAsia="楷体" w:cs="楷体"/>
          <w:b/>
          <w:bCs/>
          <w:sz w:val="32"/>
          <w:szCs w:val="32"/>
        </w:rPr>
        <w:t>（三）</w:t>
      </w:r>
      <w:r>
        <w:rPr>
          <w:rFonts w:hint="eastAsia" w:ascii="楷体" w:hAnsi="楷体" w:eastAsia="楷体" w:cs="楷体"/>
          <w:color w:val="000000"/>
          <w:sz w:val="32"/>
          <w:szCs w:val="32"/>
        </w:rPr>
        <w:t>抽样方案</w:t>
      </w:r>
      <w:r>
        <w:rPr>
          <w:rFonts w:hint="eastAsia" w:ascii="仿宋" w:hAnsi="仿宋" w:eastAsia="仿宋" w:cs="仿宋"/>
          <w:color w:val="000000"/>
          <w:sz w:val="32"/>
          <w:szCs w:val="32"/>
        </w:rPr>
        <w:t>。</w:t>
      </w:r>
      <w:r>
        <w:rPr>
          <w:rFonts w:hint="eastAsia" w:ascii="仿宋" w:hAnsi="仿宋" w:eastAsia="仿宋" w:cs="仿宋"/>
          <w:sz w:val="32"/>
          <w:szCs w:val="32"/>
        </w:rPr>
        <w:t>为防止单个机型调查区域过分集中，确保调查用户在省内合理分布，首先</w:t>
      </w:r>
      <w:r>
        <w:rPr>
          <w:rFonts w:hint="eastAsia" w:ascii="仿宋" w:hAnsi="仿宋" w:eastAsia="仿宋" w:cs="仿宋"/>
          <w:sz w:val="32"/>
          <w:szCs w:val="32"/>
          <w:lang w:val="en-US" w:eastAsia="zh-CN"/>
        </w:rPr>
        <w:t>,</w:t>
      </w:r>
      <w:r>
        <w:rPr>
          <w:rFonts w:hint="eastAsia" w:ascii="仿宋" w:hAnsi="仿宋" w:eastAsia="仿宋" w:cs="仿宋"/>
          <w:sz w:val="32"/>
          <w:szCs w:val="32"/>
        </w:rPr>
        <w:t>根据我省所调查的16个型号的97个玉米免耕播种机产品计划调查用户数量和2018年我省购置补贴用户分布情况，确定各机型在各县域的用户调查数量分配，形成《生产企业、产品型号及调查用户区域分布表》。其次，调查人员在各县域调查时，从2018年获得补贴的玉米免耕播种机用户名单中随机抽取相关用户开展调查工作。用户名单由农业农村部农业机械试验鉴定总站（以下简称“农机鉴定总站”）提供，选取的用户应具有代表性，能够反映机具的真实使用情况。</w:t>
      </w:r>
    </w:p>
    <w:p>
      <w:pPr>
        <w:widowControl/>
        <w:spacing w:before="156" w:beforeLines="50" w:line="360" w:lineRule="auto"/>
        <w:ind w:left="105" w:leftChars="50" w:firstLine="645"/>
        <w:rPr>
          <w:rFonts w:hint="eastAsia" w:ascii="仿宋" w:hAnsi="仿宋" w:eastAsia="仿宋" w:cs="仿宋"/>
          <w:kern w:val="0"/>
          <w:sz w:val="32"/>
          <w:szCs w:val="32"/>
        </w:rPr>
      </w:pPr>
      <w:r>
        <w:rPr>
          <w:rFonts w:hint="eastAsia" w:ascii="黑体" w:hAnsi="黑体" w:eastAsia="黑体"/>
          <w:kern w:val="0"/>
          <w:sz w:val="32"/>
          <w:szCs w:val="32"/>
        </w:rPr>
        <w:t>四、工作分工及人员资质</w:t>
      </w:r>
    </w:p>
    <w:p>
      <w:pPr>
        <w:adjustRightInd w:val="0"/>
        <w:spacing w:line="360" w:lineRule="auto"/>
        <w:ind w:left="105" w:leftChars="50" w:firstLine="643" w:firstLineChars="200"/>
        <w:rPr>
          <w:rFonts w:hint="eastAsia" w:ascii="仿宋" w:hAnsi="仿宋" w:eastAsia="仿宋" w:cs="仿宋"/>
          <w:b/>
          <w:bCs/>
          <w:sz w:val="32"/>
          <w:szCs w:val="32"/>
        </w:rPr>
      </w:pPr>
      <w:r>
        <w:rPr>
          <w:rFonts w:hint="eastAsia" w:ascii="楷体_GB2312" w:hAnsi="楷体_GB2312" w:eastAsia="楷体_GB2312" w:cs="楷体_GB2312"/>
          <w:b/>
          <w:bCs/>
          <w:sz w:val="32"/>
          <w:szCs w:val="32"/>
        </w:rPr>
        <w:t>（一）</w:t>
      </w:r>
      <w:r>
        <w:rPr>
          <w:rFonts w:hint="eastAsia" w:ascii="楷体_GB2312" w:hAnsi="楷体_GB2312" w:eastAsia="楷体_GB2312" w:cs="楷体_GB2312"/>
          <w:bCs/>
          <w:sz w:val="32"/>
          <w:szCs w:val="32"/>
        </w:rPr>
        <w:t>工作分工</w:t>
      </w:r>
      <w:r>
        <w:rPr>
          <w:rFonts w:hint="eastAsia" w:ascii="仿宋" w:hAnsi="仿宋" w:eastAsia="仿宋" w:cs="仿宋"/>
          <w:bCs/>
          <w:sz w:val="32"/>
          <w:szCs w:val="32"/>
        </w:rPr>
        <w:t>。吉林省农业农村厅主管吉林省2020玉米免耕播种机质量调查工作，具体调查工作由吉林省农业机械化管理中心（以下简称“省农机管理中心”）和相关县、市、区农机管理部门联合承担。省农机管理中心负责培训全省调查员，组织实施用户调查，按</w:t>
      </w:r>
      <w:r>
        <w:rPr>
          <w:rFonts w:hint="eastAsia" w:ascii="仿宋" w:hAnsi="仿宋" w:eastAsia="仿宋" w:cs="仿宋"/>
          <w:bCs/>
          <w:sz w:val="32"/>
          <w:szCs w:val="32"/>
          <w:lang w:eastAsia="zh-CN"/>
        </w:rPr>
        <w:t>农业农村</w:t>
      </w:r>
      <w:r>
        <w:rPr>
          <w:rFonts w:hint="eastAsia" w:ascii="仿宋" w:hAnsi="仿宋" w:eastAsia="仿宋" w:cs="仿宋"/>
          <w:bCs/>
          <w:sz w:val="32"/>
          <w:szCs w:val="32"/>
        </w:rPr>
        <w:t>部方案要求统计并录入数据，提交调查相关材料和工作总结。相关县(市、区)农机管理部门负责联系落实本区域内受调查用户。</w:t>
      </w:r>
    </w:p>
    <w:p>
      <w:pPr>
        <w:adjustRightInd w:val="0"/>
        <w:spacing w:line="360" w:lineRule="auto"/>
        <w:ind w:left="105" w:leftChars="50" w:firstLine="643" w:firstLineChars="200"/>
        <w:rPr>
          <w:rFonts w:hint="eastAsia" w:ascii="仿宋" w:hAnsi="仿宋" w:eastAsia="仿宋" w:cs="仿宋"/>
          <w:sz w:val="32"/>
          <w:szCs w:val="32"/>
        </w:rPr>
      </w:pPr>
      <w:r>
        <w:rPr>
          <w:rFonts w:hint="eastAsia" w:ascii="楷体_GB2312" w:hAnsi="楷体_GB2312" w:eastAsia="楷体_GB2312" w:cs="楷体_GB2312"/>
          <w:b/>
          <w:bCs/>
          <w:sz w:val="32"/>
          <w:szCs w:val="32"/>
        </w:rPr>
        <w:t>（二）</w:t>
      </w:r>
      <w:r>
        <w:rPr>
          <w:rFonts w:hint="eastAsia" w:ascii="楷体_GB2312" w:hAnsi="楷体_GB2312" w:eastAsia="楷体_GB2312" w:cs="楷体_GB2312"/>
          <w:color w:val="000000"/>
          <w:sz w:val="32"/>
          <w:szCs w:val="32"/>
        </w:rPr>
        <w:t>人员资质。</w:t>
      </w:r>
      <w:r>
        <w:rPr>
          <w:rFonts w:hint="eastAsia" w:ascii="仿宋" w:hAnsi="仿宋" w:eastAsia="仿宋" w:cs="仿宋"/>
          <w:bCs/>
          <w:sz w:val="32"/>
          <w:szCs w:val="32"/>
        </w:rPr>
        <w:t>调查人员由省农机管理中心相关处室人员和调查用户所在县(市、区)农机管理人员组成。省农机管理中心组织全省质量调查员统一培训，考核合格后，由</w:t>
      </w:r>
      <w:r>
        <w:rPr>
          <w:rFonts w:hint="eastAsia" w:ascii="仿宋" w:hAnsi="仿宋" w:eastAsia="仿宋" w:cs="仿宋"/>
          <w:sz w:val="32"/>
          <w:szCs w:val="32"/>
        </w:rPr>
        <w:t>农业农村部统一颁发质量调查员证，质量调查员持证入户调查。</w:t>
      </w:r>
    </w:p>
    <w:p>
      <w:pPr>
        <w:adjustRightInd w:val="0"/>
        <w:ind w:firstLine="640" w:firstLineChars="200"/>
        <w:rPr>
          <w:rFonts w:hint="eastAsia" w:ascii="仿宋" w:hAnsi="仿宋" w:eastAsia="仿宋" w:cs="仿宋"/>
          <w:sz w:val="32"/>
          <w:szCs w:val="32"/>
        </w:rPr>
      </w:pPr>
      <w:r>
        <w:rPr>
          <w:rFonts w:hint="eastAsia" w:ascii="黑体" w:hAnsi="黑体" w:eastAsia="黑体"/>
          <w:sz w:val="32"/>
          <w:szCs w:val="32"/>
        </w:rPr>
        <w:t>五、调查方法</w:t>
      </w:r>
    </w:p>
    <w:p>
      <w:pPr>
        <w:autoSpaceDE w:val="0"/>
        <w:autoSpaceDN w:val="0"/>
        <w:adjustRightInd w:val="0"/>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可采取入户调查、作业现场查看和召开座谈会的方式进行。按照用户调查表的内容，逐一询问用户对所用产品在安全性、可靠性、适用性以及售后服务等方面的体验情况，逐项完成调查表填写。调查应见人见机，对用户反映的质量问题，尤其对有质量投诉或已发生质量安全事故的产品，应详细询问，并注意收集相关图片、资料等证据。调查结束后，调查人员和用户需在调查表上签字确认。</w:t>
      </w:r>
    </w:p>
    <w:p>
      <w:pPr>
        <w:adjustRightInd w:val="0"/>
        <w:spacing w:line="480" w:lineRule="auto"/>
        <w:ind w:firstLine="640" w:firstLineChars="200"/>
        <w:rPr>
          <w:rFonts w:hint="eastAsia" w:ascii="仿宋" w:hAnsi="仿宋" w:eastAsia="仿宋" w:cs="仿宋"/>
          <w:sz w:val="32"/>
          <w:szCs w:val="32"/>
        </w:rPr>
      </w:pPr>
      <w:r>
        <w:rPr>
          <w:rFonts w:hint="eastAsia" w:ascii="黑体" w:hAnsi="黑体" w:eastAsia="黑体"/>
          <w:sz w:val="32"/>
          <w:szCs w:val="32"/>
        </w:rPr>
        <w:t>六、时间安排</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2020年7月中旬，</w:t>
      </w:r>
      <w:r>
        <w:rPr>
          <w:rFonts w:hint="eastAsia" w:ascii="仿宋" w:hAnsi="仿宋" w:eastAsia="仿宋" w:cs="仿宋"/>
          <w:snapToGrid w:val="0"/>
          <w:sz w:val="32"/>
          <w:szCs w:val="32"/>
        </w:rPr>
        <w:t>省农机管理中心召开工作布置会，宣贯</w:t>
      </w:r>
      <w:r>
        <w:rPr>
          <w:rFonts w:hint="eastAsia" w:ascii="仿宋" w:hAnsi="仿宋" w:eastAsia="仿宋" w:cs="仿宋"/>
          <w:sz w:val="32"/>
          <w:szCs w:val="32"/>
        </w:rPr>
        <w:t>实施方案，培训质量调查人员，明确项目实施要求，部署质量调查任务。</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2020年7-</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8月，各相关单位对方案中确定的产品开展实地用户调查。</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2020年9月，省农机管理中心对质量调查结果汇总分析，并对调查结果数据进行必要的核查,形成《吉林省2020年玉米免耕播种机质量调查报告》，报</w:t>
      </w:r>
      <w:r>
        <w:rPr>
          <w:rFonts w:hint="eastAsia" w:ascii="仿宋" w:hAnsi="仿宋" w:eastAsia="仿宋" w:cs="仿宋"/>
          <w:sz w:val="32"/>
          <w:szCs w:val="32"/>
          <w:lang w:eastAsia="zh-CN"/>
        </w:rPr>
        <w:t>农业农村部</w:t>
      </w:r>
      <w:r>
        <w:rPr>
          <w:rFonts w:hint="eastAsia" w:ascii="仿宋" w:hAnsi="仿宋" w:eastAsia="仿宋" w:cs="仿宋"/>
          <w:sz w:val="32"/>
          <w:szCs w:val="32"/>
        </w:rPr>
        <w:t>农机鉴定总站审定后，</w:t>
      </w:r>
      <w:r>
        <w:rPr>
          <w:rFonts w:hint="eastAsia" w:ascii="仿宋" w:hAnsi="仿宋" w:eastAsia="仿宋" w:cs="仿宋"/>
          <w:sz w:val="32"/>
          <w:szCs w:val="32"/>
          <w:lang w:eastAsia="zh-CN"/>
        </w:rPr>
        <w:t>再</w:t>
      </w:r>
      <w:r>
        <w:rPr>
          <w:rFonts w:hint="eastAsia" w:ascii="仿宋" w:hAnsi="仿宋" w:eastAsia="仿宋" w:cs="仿宋"/>
          <w:sz w:val="32"/>
          <w:szCs w:val="32"/>
        </w:rPr>
        <w:t>由吉林省农业农村厅行文上报农业农村部。</w:t>
      </w:r>
    </w:p>
    <w:p>
      <w:pPr>
        <w:adjustRightInd w:val="0"/>
        <w:spacing w:line="480" w:lineRule="auto"/>
        <w:ind w:firstLine="640" w:firstLineChars="200"/>
        <w:rPr>
          <w:rFonts w:hint="eastAsia" w:ascii="仿宋" w:hAnsi="仿宋" w:eastAsia="仿宋" w:cs="仿宋"/>
          <w:sz w:val="32"/>
          <w:szCs w:val="32"/>
        </w:rPr>
      </w:pPr>
      <w:r>
        <w:rPr>
          <w:rFonts w:hint="eastAsia" w:ascii="黑体" w:hAnsi="黑体" w:eastAsia="黑体"/>
          <w:sz w:val="32"/>
          <w:szCs w:val="32"/>
        </w:rPr>
        <w:t>七、工作要求</w:t>
      </w:r>
    </w:p>
    <w:p>
      <w:pPr>
        <w:adjustRightInd w:val="0"/>
        <w:spacing w:line="360" w:lineRule="auto"/>
        <w:ind w:left="105" w:leftChars="50" w:firstLine="643" w:firstLineChars="200"/>
        <w:rPr>
          <w:rFonts w:hint="eastAsia" w:ascii="仿宋" w:hAnsi="仿宋" w:eastAsia="仿宋" w:cs="仿宋"/>
          <w:sz w:val="32"/>
          <w:szCs w:val="32"/>
        </w:rPr>
      </w:pPr>
      <w:r>
        <w:rPr>
          <w:rFonts w:hint="eastAsia" w:ascii="楷体_GB2312" w:hAnsi="楷体_GB2312" w:eastAsia="楷体_GB2312" w:cs="楷体_GB2312"/>
          <w:b/>
          <w:bCs/>
          <w:sz w:val="32"/>
          <w:szCs w:val="32"/>
        </w:rPr>
        <w:t>（一）</w:t>
      </w:r>
      <w:r>
        <w:rPr>
          <w:rFonts w:hint="eastAsia" w:ascii="楷体_GB2312" w:hAnsi="楷体_GB2312" w:eastAsia="楷体_GB2312" w:cs="楷体_GB2312"/>
          <w:sz w:val="32"/>
          <w:szCs w:val="32"/>
        </w:rPr>
        <w:t>提高认识，扎实工作。</w:t>
      </w:r>
      <w:r>
        <w:rPr>
          <w:rFonts w:hint="eastAsia" w:ascii="仿宋" w:hAnsi="仿宋" w:eastAsia="仿宋" w:cs="仿宋"/>
          <w:sz w:val="32"/>
          <w:szCs w:val="32"/>
        </w:rPr>
        <w:t>质量调查工作是加强农业机械产品质量监督管理，维护</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"https://baike.baidu.com/item/%E5%86%9C%E4%B8%9A%E6%9C%BA%E6%A2%B0" \t "_blank" </w:instrText>
      </w:r>
      <w:r>
        <w:rPr>
          <w:rFonts w:hint="eastAsia" w:ascii="仿宋" w:hAnsi="仿宋" w:eastAsia="仿宋" w:cs="仿宋"/>
          <w:sz w:val="32"/>
          <w:szCs w:val="32"/>
        </w:rPr>
        <w:fldChar w:fldCharType="separate"/>
      </w:r>
      <w:r>
        <w:rPr>
          <w:rFonts w:hint="eastAsia" w:ascii="仿宋" w:hAnsi="仿宋" w:eastAsia="仿宋" w:cs="仿宋"/>
          <w:sz w:val="32"/>
          <w:szCs w:val="32"/>
        </w:rPr>
        <w:t>农业机械</w:t>
      </w:r>
      <w:r>
        <w:rPr>
          <w:rFonts w:hint="eastAsia" w:ascii="仿宋" w:hAnsi="仿宋" w:eastAsia="仿宋" w:cs="仿宋"/>
          <w:sz w:val="32"/>
          <w:szCs w:val="32"/>
        </w:rPr>
        <w:fldChar w:fldCharType="end"/>
      </w:r>
      <w:r>
        <w:rPr>
          <w:rFonts w:hint="eastAsia" w:ascii="仿宋" w:hAnsi="仿宋" w:eastAsia="仿宋" w:cs="仿宋"/>
          <w:sz w:val="32"/>
          <w:szCs w:val="32"/>
        </w:rPr>
        <w:t>使用者和生产者、销售者的合法权益的重要措施。参加质量调查的单位要高度重视此项工作，工作过程中确定专人负责，积极协调调查用户配合调查，调查过程务必见人见机，确保调查数据真实有效。</w:t>
      </w:r>
    </w:p>
    <w:p>
      <w:pPr>
        <w:adjustRightInd w:val="0"/>
        <w:spacing w:line="360" w:lineRule="auto"/>
        <w:ind w:left="105" w:leftChars="50" w:firstLine="643" w:firstLineChars="200"/>
        <w:rPr>
          <w:rFonts w:hint="eastAsia" w:ascii="仿宋" w:hAnsi="仿宋" w:eastAsia="仿宋" w:cs="仿宋"/>
          <w:bCs/>
          <w:sz w:val="32"/>
          <w:szCs w:val="32"/>
        </w:rPr>
      </w:pPr>
      <w:r>
        <w:rPr>
          <w:rFonts w:hint="eastAsia" w:ascii="楷体_GB2312" w:hAnsi="楷体_GB2312" w:eastAsia="楷体_GB2312" w:cs="楷体_GB2312"/>
          <w:b/>
          <w:bCs/>
          <w:sz w:val="32"/>
          <w:szCs w:val="32"/>
        </w:rPr>
        <w:t>（二）</w:t>
      </w:r>
      <w:r>
        <w:rPr>
          <w:rFonts w:hint="eastAsia" w:ascii="楷体_GB2312" w:hAnsi="楷体_GB2312" w:eastAsia="楷体_GB2312" w:cs="楷体_GB2312"/>
          <w:sz w:val="32"/>
          <w:szCs w:val="32"/>
        </w:rPr>
        <w:t>加强宣传引导，创新工作方法</w:t>
      </w:r>
      <w:r>
        <w:rPr>
          <w:rFonts w:hint="eastAsia" w:ascii="仿宋" w:hAnsi="仿宋" w:eastAsia="仿宋" w:cs="仿宋"/>
          <w:sz w:val="32"/>
          <w:szCs w:val="32"/>
        </w:rPr>
        <w:t>。</w:t>
      </w:r>
      <w:r>
        <w:rPr>
          <w:rFonts w:hint="eastAsia" w:ascii="仿宋" w:hAnsi="仿宋" w:eastAsia="仿宋" w:cs="仿宋"/>
          <w:bCs/>
          <w:sz w:val="32"/>
          <w:szCs w:val="32"/>
        </w:rPr>
        <w:t>在质量调查过程中加大对购机者的宣传引导工作，使其理解质量调查是维护其自身利益的重要途径，积极主动配合调查工作的进行。调查实施过程中为使购机者愉快接受并积极配合调查工作，允许适当给受调查农机户发放误工补偿。鼓励采用社会化用车等方式优先保障质量调查工作用车出行，多渠道解决最后“</w:t>
      </w:r>
      <w:r>
        <w:rPr>
          <w:rFonts w:hint="eastAsia" w:ascii="仿宋" w:hAnsi="仿宋" w:eastAsia="仿宋" w:cs="仿宋"/>
          <w:bCs/>
          <w:sz w:val="32"/>
          <w:szCs w:val="32"/>
          <w:lang w:eastAsia="zh-CN"/>
        </w:rPr>
        <w:t>一</w:t>
      </w:r>
      <w:r>
        <w:rPr>
          <w:rFonts w:hint="eastAsia" w:ascii="仿宋" w:hAnsi="仿宋" w:eastAsia="仿宋" w:cs="仿宋"/>
          <w:bCs/>
          <w:sz w:val="32"/>
          <w:szCs w:val="32"/>
        </w:rPr>
        <w:t>公里”的实地调查困难。</w:t>
      </w:r>
    </w:p>
    <w:p>
      <w:pPr>
        <w:adjustRightInd w:val="0"/>
        <w:spacing w:line="360" w:lineRule="auto"/>
        <w:ind w:left="105" w:leftChars="50" w:firstLine="643" w:firstLineChars="200"/>
        <w:rPr>
          <w:rFonts w:hint="eastAsia" w:ascii="仿宋" w:hAnsi="仿宋" w:eastAsia="仿宋" w:cs="仿宋"/>
          <w:bCs/>
          <w:sz w:val="32"/>
          <w:szCs w:val="32"/>
        </w:rPr>
      </w:pPr>
      <w:r>
        <w:rPr>
          <w:rFonts w:hint="eastAsia" w:ascii="楷体_GB2312" w:hAnsi="楷体_GB2312" w:eastAsia="楷体_GB2312" w:cs="楷体_GB2312"/>
          <w:b/>
          <w:bCs/>
          <w:sz w:val="32"/>
          <w:szCs w:val="32"/>
        </w:rPr>
        <w:t>（三）</w:t>
      </w:r>
      <w:r>
        <w:rPr>
          <w:rFonts w:hint="eastAsia" w:ascii="楷体_GB2312" w:hAnsi="楷体_GB2312" w:eastAsia="楷体_GB2312" w:cs="楷体_GB2312"/>
          <w:bCs/>
          <w:sz w:val="32"/>
          <w:szCs w:val="32"/>
        </w:rPr>
        <w:t>注重总结工作经验。</w:t>
      </w:r>
      <w:r>
        <w:rPr>
          <w:rFonts w:hint="eastAsia" w:ascii="仿宋" w:hAnsi="仿宋" w:eastAsia="仿宋" w:cs="仿宋"/>
          <w:bCs/>
          <w:sz w:val="32"/>
          <w:szCs w:val="32"/>
        </w:rPr>
        <w:t xml:space="preserve">质量调查是政府农机化行政主管部门制定相关政策的重要参考依据，是今后农机化质量监督管理的重要工作。对工作中发现的问题与不足要分析原因,制定纠正和改进措施，为质量调查工作的长期开展夯实基础。 </w:t>
      </w:r>
    </w:p>
    <w:p>
      <w:pPr>
        <w:adjustRightInd w:val="0"/>
        <w:spacing w:line="360" w:lineRule="auto"/>
        <w:ind w:left="105" w:leftChars="50" w:firstLine="640" w:firstLineChars="200"/>
        <w:rPr>
          <w:rFonts w:hint="eastAsia" w:ascii="仿宋" w:hAnsi="仿宋" w:eastAsia="仿宋" w:cs="仿宋"/>
          <w:bCs/>
          <w:sz w:val="32"/>
          <w:szCs w:val="32"/>
        </w:rPr>
      </w:pPr>
      <w:r>
        <w:rPr>
          <w:rFonts w:hint="eastAsia" w:ascii="仿宋" w:hAnsi="仿宋" w:eastAsia="仿宋" w:cs="仿宋"/>
          <w:bCs/>
          <w:sz w:val="32"/>
          <w:szCs w:val="32"/>
        </w:rPr>
        <w:fldChar w:fldCharType="begin"/>
      </w:r>
      <w:r>
        <w:rPr>
          <w:rFonts w:hint="eastAsia" w:ascii="仿宋" w:hAnsi="仿宋" w:eastAsia="仿宋" w:cs="仿宋"/>
          <w:bCs/>
          <w:sz w:val="32"/>
          <w:szCs w:val="32"/>
        </w:rPr>
        <w:instrText xml:space="preserve"> HYPERLINK "mailto:（四）本次调查范围涉及的各市（州）农业农村局确定联络员并协调所辖县（市、区）开展工作，各市（州）务于7月11前将联络员名单通过电子邮箱110254175@qq.com上报省农机化管理中心质量监督处。" </w:instrText>
      </w:r>
      <w:r>
        <w:rPr>
          <w:rFonts w:hint="eastAsia" w:ascii="仿宋" w:hAnsi="仿宋" w:eastAsia="仿宋" w:cs="仿宋"/>
          <w:bCs/>
          <w:sz w:val="32"/>
          <w:szCs w:val="32"/>
        </w:rPr>
        <w:fldChar w:fldCharType="separate"/>
      </w:r>
      <w:r>
        <w:rPr>
          <w:rFonts w:hint="eastAsia" w:ascii="仿宋" w:hAnsi="仿宋" w:eastAsia="仿宋" w:cs="仿宋"/>
          <w:bCs/>
          <w:sz w:val="32"/>
          <w:szCs w:val="32"/>
        </w:rPr>
        <w:t>（四）本次调查范围涉及的各市（州）农业农村局确定联络员并协调所辖县（市、区）开展调查工作，请各市（州）农业农村局</w:t>
      </w:r>
      <w:r>
        <w:rPr>
          <w:rFonts w:hint="eastAsia" w:ascii="仿宋" w:hAnsi="仿宋" w:eastAsia="仿宋" w:cs="仿宋"/>
          <w:sz w:val="32"/>
          <w:szCs w:val="32"/>
        </w:rPr>
        <w:t>于6月30日前</w:t>
      </w:r>
      <w:r>
        <w:rPr>
          <w:rFonts w:hint="eastAsia" w:ascii="仿宋" w:hAnsi="仿宋" w:eastAsia="仿宋" w:cs="仿宋"/>
          <w:bCs/>
          <w:sz w:val="32"/>
          <w:szCs w:val="32"/>
        </w:rPr>
        <w:t>将联络员信息表通过电子邮箱494793276@qq.com上报省农机化管理中心质量监督处。</w:t>
      </w:r>
      <w:r>
        <w:rPr>
          <w:rFonts w:hint="eastAsia" w:ascii="仿宋" w:hAnsi="仿宋" w:eastAsia="仿宋" w:cs="仿宋"/>
          <w:bCs/>
          <w:sz w:val="32"/>
          <w:szCs w:val="32"/>
        </w:rPr>
        <w:fldChar w:fldCharType="end"/>
      </w:r>
    </w:p>
    <w:p>
      <w:pPr>
        <w:adjustRightInd w:val="0"/>
        <w:spacing w:line="360" w:lineRule="auto"/>
        <w:ind w:left="105" w:leftChars="50" w:firstLine="640" w:firstLineChars="200"/>
        <w:rPr>
          <w:rFonts w:hint="eastAsia" w:ascii="仿宋" w:hAnsi="仿宋" w:eastAsia="仿宋" w:cs="仿宋"/>
          <w:bCs/>
          <w:sz w:val="32"/>
          <w:szCs w:val="32"/>
          <w:lang w:val="en-US" w:eastAsia="zh-CN"/>
        </w:rPr>
      </w:pPr>
      <w:r>
        <w:rPr>
          <w:rFonts w:hint="eastAsia" w:ascii="仿宋" w:hAnsi="仿宋" w:eastAsia="仿宋" w:cs="仿宋"/>
          <w:bCs/>
          <w:sz w:val="32"/>
          <w:szCs w:val="32"/>
        </w:rPr>
        <w:t>联 系 人：许文涛</w:t>
      </w:r>
      <w:r>
        <w:rPr>
          <w:rFonts w:hint="eastAsia" w:ascii="仿宋" w:hAnsi="仿宋" w:eastAsia="仿宋" w:cs="仿宋"/>
          <w:bCs/>
          <w:sz w:val="32"/>
          <w:szCs w:val="32"/>
          <w:lang w:val="en-US" w:eastAsia="zh-CN"/>
        </w:rPr>
        <w:t xml:space="preserve"> </w:t>
      </w:r>
    </w:p>
    <w:p>
      <w:pPr>
        <w:adjustRightInd w:val="0"/>
        <w:spacing w:line="360" w:lineRule="auto"/>
        <w:ind w:left="105" w:leftChars="50" w:firstLine="640" w:firstLineChars="200"/>
        <w:rPr>
          <w:rFonts w:hint="eastAsia" w:ascii="仿宋" w:hAnsi="仿宋" w:eastAsia="仿宋" w:cs="仿宋"/>
          <w:bCs/>
          <w:sz w:val="32"/>
          <w:szCs w:val="32"/>
          <w:lang w:val="en-US" w:eastAsia="zh-CN"/>
        </w:rPr>
      </w:pPr>
      <w:r>
        <w:rPr>
          <w:rFonts w:hint="eastAsia" w:ascii="仿宋" w:hAnsi="仿宋" w:eastAsia="仿宋" w:cs="仿宋"/>
          <w:bCs/>
          <w:sz w:val="32"/>
          <w:szCs w:val="32"/>
        </w:rPr>
        <w:t>联系电话：0431-</w:t>
      </w:r>
      <w:r>
        <w:rPr>
          <w:rFonts w:hint="eastAsia" w:ascii="仿宋" w:hAnsi="仿宋" w:eastAsia="仿宋" w:cs="仿宋"/>
          <w:bCs/>
          <w:sz w:val="32"/>
          <w:szCs w:val="32"/>
          <w:lang w:val="en-US" w:eastAsia="zh-CN"/>
        </w:rPr>
        <w:t xml:space="preserve"> </w:t>
      </w:r>
      <w:r>
        <w:rPr>
          <w:rFonts w:hint="eastAsia" w:ascii="仿宋" w:hAnsi="仿宋" w:eastAsia="仿宋" w:cs="仿宋"/>
          <w:bCs/>
          <w:sz w:val="32"/>
          <w:szCs w:val="32"/>
        </w:rPr>
        <w:t>87998021</w:t>
      </w:r>
    </w:p>
    <w:p>
      <w:pPr>
        <w:tabs>
          <w:tab w:val="left" w:pos="1410"/>
        </w:tabs>
        <w:jc w:val="left"/>
        <w:rPr>
          <w:rFonts w:hint="eastAsia" w:ascii="仿宋" w:hAnsi="仿宋" w:eastAsia="仿宋" w:cs="仿宋"/>
          <w:sz w:val="32"/>
          <w:szCs w:val="32"/>
        </w:rPr>
      </w:pPr>
    </w:p>
    <w:p>
      <w:pPr>
        <w:tabs>
          <w:tab w:val="left" w:pos="1410"/>
        </w:tabs>
        <w:rPr>
          <w:rFonts w:hint="eastAsia" w:ascii="仿宋" w:hAnsi="仿宋" w:eastAsia="仿宋" w:cs="仿宋"/>
          <w:b/>
          <w:sz w:val="32"/>
          <w:szCs w:val="32"/>
        </w:rPr>
      </w:pPr>
      <w:r>
        <w:rPr>
          <w:rFonts w:hint="eastAsia" w:ascii="宋体" w:hAnsi="宋体" w:cs="宋体"/>
          <w:b/>
          <w:sz w:val="32"/>
          <w:szCs w:val="32"/>
        </w:rPr>
        <w:t xml:space="preserve">            玉米免耕播种机质量调查联络员信息表</w:t>
      </w:r>
    </w:p>
    <w:tbl>
      <w:tblPr>
        <w:tblStyle w:val="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338"/>
        <w:gridCol w:w="3096"/>
        <w:gridCol w:w="1774"/>
        <w:gridCol w:w="17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Borders>
              <w:top w:val="single" w:color="auto" w:sz="4" w:space="0"/>
              <w:left w:val="single" w:color="auto" w:sz="4" w:space="0"/>
              <w:bottom w:val="single" w:color="auto" w:sz="4" w:space="0"/>
              <w:right w:val="single" w:color="auto" w:sz="4" w:space="0"/>
            </w:tcBorders>
            <w:noWrap w:val="0"/>
            <w:vAlign w:val="center"/>
          </w:tcPr>
          <w:p>
            <w:pPr>
              <w:tabs>
                <w:tab w:val="left" w:pos="100"/>
              </w:tabs>
              <w:jc w:val="center"/>
              <w:rPr>
                <w:rFonts w:hint="eastAsia" w:ascii="仿宋" w:hAnsi="仿宋" w:eastAsia="仿宋" w:cs="仿宋"/>
                <w:sz w:val="32"/>
                <w:szCs w:val="32"/>
              </w:rPr>
            </w:pPr>
            <w:r>
              <w:rPr>
                <w:rFonts w:hint="eastAsia" w:ascii="仿宋" w:hAnsi="仿宋" w:eastAsia="仿宋" w:cs="仿宋"/>
                <w:sz w:val="32"/>
                <w:szCs w:val="32"/>
              </w:rPr>
              <w:t>序号</w:t>
            </w:r>
          </w:p>
        </w:tc>
        <w:tc>
          <w:tcPr>
            <w:tcW w:w="1338" w:type="dxa"/>
            <w:tcBorders>
              <w:top w:val="single" w:color="auto" w:sz="4" w:space="0"/>
              <w:left w:val="single" w:color="auto" w:sz="4" w:space="0"/>
              <w:bottom w:val="single" w:color="auto" w:sz="4" w:space="0"/>
              <w:right w:val="single" w:color="auto" w:sz="4" w:space="0"/>
            </w:tcBorders>
            <w:noWrap w:val="0"/>
            <w:vAlign w:val="center"/>
          </w:tcPr>
          <w:p>
            <w:pPr>
              <w:tabs>
                <w:tab w:val="left" w:pos="1410"/>
              </w:tabs>
              <w:jc w:val="center"/>
              <w:rPr>
                <w:rFonts w:hint="eastAsia" w:ascii="仿宋" w:hAnsi="仿宋" w:eastAsia="仿宋" w:cs="仿宋"/>
                <w:sz w:val="32"/>
                <w:szCs w:val="32"/>
              </w:rPr>
            </w:pPr>
            <w:r>
              <w:rPr>
                <w:rFonts w:hint="eastAsia" w:ascii="仿宋" w:hAnsi="仿宋" w:eastAsia="仿宋" w:cs="仿宋"/>
                <w:sz w:val="32"/>
                <w:szCs w:val="32"/>
              </w:rPr>
              <w:t>姓名</w:t>
            </w:r>
          </w:p>
        </w:tc>
        <w:tc>
          <w:tcPr>
            <w:tcW w:w="3096" w:type="dxa"/>
            <w:tcBorders>
              <w:top w:val="single" w:color="auto" w:sz="4" w:space="0"/>
              <w:left w:val="single" w:color="auto" w:sz="4" w:space="0"/>
              <w:bottom w:val="single" w:color="auto" w:sz="4" w:space="0"/>
              <w:right w:val="single" w:color="auto" w:sz="4" w:space="0"/>
            </w:tcBorders>
            <w:noWrap w:val="0"/>
            <w:vAlign w:val="center"/>
          </w:tcPr>
          <w:p>
            <w:pPr>
              <w:tabs>
                <w:tab w:val="left" w:pos="1410"/>
              </w:tabs>
              <w:jc w:val="center"/>
              <w:rPr>
                <w:rFonts w:hint="eastAsia" w:ascii="仿宋" w:hAnsi="仿宋" w:eastAsia="仿宋" w:cs="仿宋"/>
                <w:sz w:val="32"/>
                <w:szCs w:val="32"/>
              </w:rPr>
            </w:pPr>
            <w:r>
              <w:rPr>
                <w:rFonts w:hint="eastAsia" w:ascii="仿宋" w:hAnsi="仿宋" w:eastAsia="仿宋" w:cs="仿宋"/>
                <w:sz w:val="32"/>
                <w:szCs w:val="32"/>
              </w:rPr>
              <w:t>所在单位</w:t>
            </w:r>
          </w:p>
        </w:tc>
        <w:tc>
          <w:tcPr>
            <w:tcW w:w="1774" w:type="dxa"/>
            <w:tcBorders>
              <w:top w:val="single" w:color="auto" w:sz="4" w:space="0"/>
              <w:left w:val="single" w:color="auto" w:sz="4" w:space="0"/>
              <w:bottom w:val="single" w:color="auto" w:sz="4" w:space="0"/>
              <w:right w:val="single" w:color="auto" w:sz="4" w:space="0"/>
            </w:tcBorders>
            <w:noWrap w:val="0"/>
            <w:vAlign w:val="center"/>
          </w:tcPr>
          <w:p>
            <w:pPr>
              <w:tabs>
                <w:tab w:val="left" w:pos="1410"/>
              </w:tabs>
              <w:jc w:val="center"/>
              <w:rPr>
                <w:rFonts w:hint="eastAsia" w:ascii="仿宋" w:hAnsi="仿宋" w:eastAsia="仿宋" w:cs="仿宋"/>
                <w:sz w:val="32"/>
                <w:szCs w:val="32"/>
              </w:rPr>
            </w:pPr>
            <w:r>
              <w:rPr>
                <w:rFonts w:hint="eastAsia" w:ascii="仿宋" w:hAnsi="仿宋" w:eastAsia="仿宋" w:cs="仿宋"/>
                <w:sz w:val="32"/>
                <w:szCs w:val="32"/>
              </w:rPr>
              <w:t>职称/职务</w:t>
            </w:r>
          </w:p>
        </w:tc>
        <w:tc>
          <w:tcPr>
            <w:tcW w:w="1740" w:type="dxa"/>
            <w:tcBorders>
              <w:top w:val="single" w:color="auto" w:sz="4" w:space="0"/>
              <w:left w:val="single" w:color="auto" w:sz="4" w:space="0"/>
              <w:bottom w:val="single" w:color="auto" w:sz="4" w:space="0"/>
              <w:right w:val="single" w:color="auto" w:sz="4" w:space="0"/>
            </w:tcBorders>
            <w:noWrap w:val="0"/>
            <w:vAlign w:val="center"/>
          </w:tcPr>
          <w:p>
            <w:pPr>
              <w:tabs>
                <w:tab w:val="left" w:pos="1410"/>
              </w:tabs>
              <w:jc w:val="center"/>
              <w:rPr>
                <w:rFonts w:hint="eastAsia" w:ascii="仿宋" w:hAnsi="仿宋" w:eastAsia="仿宋" w:cs="仿宋"/>
                <w:sz w:val="32"/>
                <w:szCs w:val="32"/>
              </w:rPr>
            </w:pPr>
            <w:r>
              <w:rPr>
                <w:rFonts w:hint="eastAsia" w:ascii="仿宋" w:hAnsi="仿宋" w:eastAsia="仿宋" w:cs="仿宋"/>
                <w:sz w:val="32"/>
                <w:szCs w:val="32"/>
              </w:rPr>
              <w:t>手机号码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Borders>
              <w:top w:val="single" w:color="auto" w:sz="4" w:space="0"/>
              <w:left w:val="single" w:color="auto" w:sz="4" w:space="0"/>
              <w:bottom w:val="single" w:color="auto" w:sz="4" w:space="0"/>
              <w:right w:val="single" w:color="auto" w:sz="4" w:space="0"/>
            </w:tcBorders>
            <w:noWrap w:val="0"/>
            <w:vAlign w:val="center"/>
          </w:tcPr>
          <w:p>
            <w:pPr>
              <w:tabs>
                <w:tab w:val="left" w:pos="1410"/>
              </w:tabs>
              <w:jc w:val="center"/>
              <w:rPr>
                <w:rFonts w:hint="eastAsia" w:ascii="仿宋" w:hAnsi="仿宋" w:eastAsia="仿宋" w:cs="仿宋"/>
                <w:sz w:val="32"/>
                <w:szCs w:val="32"/>
              </w:rPr>
            </w:pPr>
          </w:p>
        </w:tc>
        <w:tc>
          <w:tcPr>
            <w:tcW w:w="1338" w:type="dxa"/>
            <w:tcBorders>
              <w:top w:val="single" w:color="auto" w:sz="4" w:space="0"/>
              <w:left w:val="single" w:color="auto" w:sz="4" w:space="0"/>
              <w:bottom w:val="single" w:color="auto" w:sz="4" w:space="0"/>
              <w:right w:val="single" w:color="auto" w:sz="4" w:space="0"/>
            </w:tcBorders>
            <w:noWrap w:val="0"/>
            <w:vAlign w:val="center"/>
          </w:tcPr>
          <w:p>
            <w:pPr>
              <w:tabs>
                <w:tab w:val="left" w:pos="1410"/>
              </w:tabs>
              <w:jc w:val="center"/>
              <w:rPr>
                <w:rFonts w:hint="eastAsia" w:ascii="仿宋" w:hAnsi="仿宋" w:eastAsia="仿宋" w:cs="仿宋"/>
                <w:sz w:val="32"/>
                <w:szCs w:val="32"/>
              </w:rPr>
            </w:pPr>
          </w:p>
        </w:tc>
        <w:tc>
          <w:tcPr>
            <w:tcW w:w="3096" w:type="dxa"/>
            <w:tcBorders>
              <w:top w:val="single" w:color="auto" w:sz="4" w:space="0"/>
              <w:left w:val="single" w:color="auto" w:sz="4" w:space="0"/>
              <w:bottom w:val="single" w:color="auto" w:sz="4" w:space="0"/>
              <w:right w:val="single" w:color="auto" w:sz="4" w:space="0"/>
            </w:tcBorders>
            <w:noWrap w:val="0"/>
            <w:vAlign w:val="center"/>
          </w:tcPr>
          <w:p>
            <w:pPr>
              <w:tabs>
                <w:tab w:val="left" w:pos="1410"/>
              </w:tabs>
              <w:jc w:val="center"/>
              <w:rPr>
                <w:rFonts w:hint="eastAsia" w:ascii="仿宋" w:hAnsi="仿宋" w:eastAsia="仿宋" w:cs="仿宋"/>
                <w:sz w:val="32"/>
                <w:szCs w:val="32"/>
              </w:rPr>
            </w:pPr>
          </w:p>
        </w:tc>
        <w:tc>
          <w:tcPr>
            <w:tcW w:w="1774" w:type="dxa"/>
            <w:tcBorders>
              <w:top w:val="single" w:color="auto" w:sz="4" w:space="0"/>
              <w:left w:val="single" w:color="auto" w:sz="4" w:space="0"/>
              <w:bottom w:val="single" w:color="auto" w:sz="4" w:space="0"/>
              <w:right w:val="single" w:color="auto" w:sz="4" w:space="0"/>
            </w:tcBorders>
            <w:noWrap w:val="0"/>
            <w:vAlign w:val="center"/>
          </w:tcPr>
          <w:p>
            <w:pPr>
              <w:tabs>
                <w:tab w:val="left" w:pos="1410"/>
              </w:tabs>
              <w:jc w:val="center"/>
              <w:rPr>
                <w:rFonts w:hint="eastAsia" w:ascii="仿宋" w:hAnsi="仿宋" w:eastAsia="仿宋" w:cs="仿宋"/>
                <w:sz w:val="32"/>
                <w:szCs w:val="32"/>
              </w:rPr>
            </w:pPr>
          </w:p>
        </w:tc>
        <w:tc>
          <w:tcPr>
            <w:tcW w:w="1740" w:type="dxa"/>
            <w:tcBorders>
              <w:top w:val="single" w:color="auto" w:sz="4" w:space="0"/>
              <w:left w:val="single" w:color="auto" w:sz="4" w:space="0"/>
              <w:bottom w:val="single" w:color="auto" w:sz="4" w:space="0"/>
              <w:right w:val="single" w:color="auto" w:sz="4" w:space="0"/>
            </w:tcBorders>
            <w:noWrap w:val="0"/>
            <w:vAlign w:val="center"/>
          </w:tcPr>
          <w:p>
            <w:pPr>
              <w:tabs>
                <w:tab w:val="left" w:pos="1410"/>
              </w:tabs>
              <w:jc w:val="cente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Borders>
              <w:top w:val="single" w:color="auto" w:sz="4" w:space="0"/>
              <w:left w:val="single" w:color="auto" w:sz="4" w:space="0"/>
              <w:bottom w:val="single" w:color="auto" w:sz="4" w:space="0"/>
              <w:right w:val="single" w:color="auto" w:sz="4" w:space="0"/>
            </w:tcBorders>
            <w:noWrap w:val="0"/>
            <w:vAlign w:val="center"/>
          </w:tcPr>
          <w:p>
            <w:pPr>
              <w:tabs>
                <w:tab w:val="left" w:pos="1410"/>
              </w:tabs>
              <w:jc w:val="center"/>
              <w:rPr>
                <w:rFonts w:hint="eastAsia" w:ascii="仿宋" w:hAnsi="仿宋" w:eastAsia="仿宋" w:cs="仿宋"/>
                <w:sz w:val="32"/>
                <w:szCs w:val="32"/>
              </w:rPr>
            </w:pPr>
          </w:p>
        </w:tc>
        <w:tc>
          <w:tcPr>
            <w:tcW w:w="1338" w:type="dxa"/>
            <w:tcBorders>
              <w:top w:val="single" w:color="auto" w:sz="4" w:space="0"/>
              <w:left w:val="single" w:color="auto" w:sz="4" w:space="0"/>
              <w:bottom w:val="single" w:color="auto" w:sz="4" w:space="0"/>
              <w:right w:val="single" w:color="auto" w:sz="4" w:space="0"/>
            </w:tcBorders>
            <w:noWrap w:val="0"/>
            <w:vAlign w:val="center"/>
          </w:tcPr>
          <w:p>
            <w:pPr>
              <w:tabs>
                <w:tab w:val="left" w:pos="1410"/>
              </w:tabs>
              <w:jc w:val="center"/>
              <w:rPr>
                <w:rFonts w:hint="eastAsia" w:ascii="仿宋" w:hAnsi="仿宋" w:eastAsia="仿宋" w:cs="仿宋"/>
                <w:sz w:val="32"/>
                <w:szCs w:val="32"/>
              </w:rPr>
            </w:pPr>
          </w:p>
        </w:tc>
        <w:tc>
          <w:tcPr>
            <w:tcW w:w="3096" w:type="dxa"/>
            <w:tcBorders>
              <w:top w:val="single" w:color="auto" w:sz="4" w:space="0"/>
              <w:left w:val="single" w:color="auto" w:sz="4" w:space="0"/>
              <w:bottom w:val="single" w:color="auto" w:sz="4" w:space="0"/>
              <w:right w:val="single" w:color="auto" w:sz="4" w:space="0"/>
            </w:tcBorders>
            <w:noWrap w:val="0"/>
            <w:vAlign w:val="center"/>
          </w:tcPr>
          <w:p>
            <w:pPr>
              <w:tabs>
                <w:tab w:val="left" w:pos="1410"/>
              </w:tabs>
              <w:jc w:val="center"/>
              <w:rPr>
                <w:rFonts w:hint="eastAsia" w:ascii="仿宋" w:hAnsi="仿宋" w:eastAsia="仿宋" w:cs="仿宋"/>
                <w:sz w:val="32"/>
                <w:szCs w:val="32"/>
              </w:rPr>
            </w:pPr>
          </w:p>
        </w:tc>
        <w:tc>
          <w:tcPr>
            <w:tcW w:w="1774" w:type="dxa"/>
            <w:tcBorders>
              <w:top w:val="single" w:color="auto" w:sz="4" w:space="0"/>
              <w:left w:val="single" w:color="auto" w:sz="4" w:space="0"/>
              <w:bottom w:val="single" w:color="auto" w:sz="4" w:space="0"/>
              <w:right w:val="single" w:color="auto" w:sz="4" w:space="0"/>
            </w:tcBorders>
            <w:noWrap w:val="0"/>
            <w:vAlign w:val="center"/>
          </w:tcPr>
          <w:p>
            <w:pPr>
              <w:tabs>
                <w:tab w:val="left" w:pos="1410"/>
              </w:tabs>
              <w:jc w:val="center"/>
              <w:rPr>
                <w:rFonts w:hint="eastAsia" w:ascii="仿宋" w:hAnsi="仿宋" w:eastAsia="仿宋" w:cs="仿宋"/>
                <w:sz w:val="32"/>
                <w:szCs w:val="32"/>
              </w:rPr>
            </w:pPr>
          </w:p>
        </w:tc>
        <w:tc>
          <w:tcPr>
            <w:tcW w:w="1740" w:type="dxa"/>
            <w:tcBorders>
              <w:top w:val="single" w:color="auto" w:sz="4" w:space="0"/>
              <w:left w:val="single" w:color="auto" w:sz="4" w:space="0"/>
              <w:bottom w:val="single" w:color="auto" w:sz="4" w:space="0"/>
              <w:right w:val="single" w:color="auto" w:sz="4" w:space="0"/>
            </w:tcBorders>
            <w:noWrap w:val="0"/>
            <w:vAlign w:val="center"/>
          </w:tcPr>
          <w:p>
            <w:pPr>
              <w:tabs>
                <w:tab w:val="left" w:pos="1410"/>
              </w:tabs>
              <w:jc w:val="cente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Borders>
              <w:top w:val="single" w:color="auto" w:sz="4" w:space="0"/>
              <w:left w:val="single" w:color="auto" w:sz="4" w:space="0"/>
              <w:bottom w:val="single" w:color="auto" w:sz="4" w:space="0"/>
              <w:right w:val="single" w:color="auto" w:sz="4" w:space="0"/>
            </w:tcBorders>
            <w:noWrap w:val="0"/>
            <w:vAlign w:val="center"/>
          </w:tcPr>
          <w:p>
            <w:pPr>
              <w:tabs>
                <w:tab w:val="left" w:pos="1410"/>
              </w:tabs>
              <w:jc w:val="center"/>
              <w:rPr>
                <w:rFonts w:hint="eastAsia" w:ascii="仿宋" w:hAnsi="仿宋" w:eastAsia="仿宋" w:cs="仿宋"/>
                <w:sz w:val="32"/>
                <w:szCs w:val="32"/>
              </w:rPr>
            </w:pPr>
          </w:p>
        </w:tc>
        <w:tc>
          <w:tcPr>
            <w:tcW w:w="1338" w:type="dxa"/>
            <w:tcBorders>
              <w:top w:val="single" w:color="auto" w:sz="4" w:space="0"/>
              <w:left w:val="single" w:color="auto" w:sz="4" w:space="0"/>
              <w:bottom w:val="single" w:color="auto" w:sz="4" w:space="0"/>
              <w:right w:val="single" w:color="auto" w:sz="4" w:space="0"/>
            </w:tcBorders>
            <w:noWrap w:val="0"/>
            <w:vAlign w:val="center"/>
          </w:tcPr>
          <w:p>
            <w:pPr>
              <w:tabs>
                <w:tab w:val="left" w:pos="1410"/>
              </w:tabs>
              <w:jc w:val="center"/>
              <w:rPr>
                <w:rFonts w:hint="eastAsia" w:ascii="仿宋" w:hAnsi="仿宋" w:eastAsia="仿宋" w:cs="仿宋"/>
                <w:sz w:val="32"/>
                <w:szCs w:val="32"/>
              </w:rPr>
            </w:pPr>
          </w:p>
        </w:tc>
        <w:tc>
          <w:tcPr>
            <w:tcW w:w="3096" w:type="dxa"/>
            <w:tcBorders>
              <w:top w:val="single" w:color="auto" w:sz="4" w:space="0"/>
              <w:left w:val="single" w:color="auto" w:sz="4" w:space="0"/>
              <w:bottom w:val="single" w:color="auto" w:sz="4" w:space="0"/>
              <w:right w:val="single" w:color="auto" w:sz="4" w:space="0"/>
            </w:tcBorders>
            <w:noWrap w:val="0"/>
            <w:vAlign w:val="center"/>
          </w:tcPr>
          <w:p>
            <w:pPr>
              <w:tabs>
                <w:tab w:val="left" w:pos="1410"/>
              </w:tabs>
              <w:jc w:val="center"/>
              <w:rPr>
                <w:rFonts w:hint="eastAsia" w:ascii="仿宋" w:hAnsi="仿宋" w:eastAsia="仿宋" w:cs="仿宋"/>
                <w:sz w:val="32"/>
                <w:szCs w:val="32"/>
              </w:rPr>
            </w:pPr>
          </w:p>
        </w:tc>
        <w:tc>
          <w:tcPr>
            <w:tcW w:w="1774" w:type="dxa"/>
            <w:tcBorders>
              <w:top w:val="single" w:color="auto" w:sz="4" w:space="0"/>
              <w:left w:val="single" w:color="auto" w:sz="4" w:space="0"/>
              <w:bottom w:val="single" w:color="auto" w:sz="4" w:space="0"/>
              <w:right w:val="single" w:color="auto" w:sz="4" w:space="0"/>
            </w:tcBorders>
            <w:noWrap w:val="0"/>
            <w:vAlign w:val="center"/>
          </w:tcPr>
          <w:p>
            <w:pPr>
              <w:tabs>
                <w:tab w:val="left" w:pos="1410"/>
              </w:tabs>
              <w:jc w:val="center"/>
              <w:rPr>
                <w:rFonts w:hint="eastAsia" w:ascii="仿宋" w:hAnsi="仿宋" w:eastAsia="仿宋" w:cs="仿宋"/>
                <w:sz w:val="32"/>
                <w:szCs w:val="32"/>
              </w:rPr>
            </w:pPr>
          </w:p>
        </w:tc>
        <w:tc>
          <w:tcPr>
            <w:tcW w:w="1740" w:type="dxa"/>
            <w:tcBorders>
              <w:top w:val="single" w:color="auto" w:sz="4" w:space="0"/>
              <w:left w:val="single" w:color="auto" w:sz="4" w:space="0"/>
              <w:bottom w:val="single" w:color="auto" w:sz="4" w:space="0"/>
              <w:right w:val="single" w:color="auto" w:sz="4" w:space="0"/>
            </w:tcBorders>
            <w:noWrap w:val="0"/>
            <w:vAlign w:val="center"/>
          </w:tcPr>
          <w:p>
            <w:pPr>
              <w:tabs>
                <w:tab w:val="left" w:pos="1410"/>
              </w:tabs>
              <w:jc w:val="center"/>
              <w:rPr>
                <w:rFonts w:hint="eastAsia" w:ascii="仿宋" w:hAnsi="仿宋" w:eastAsia="仿宋" w:cs="仿宋"/>
                <w:sz w:val="32"/>
                <w:szCs w:val="32"/>
              </w:rPr>
            </w:pPr>
          </w:p>
        </w:tc>
      </w:tr>
    </w:tbl>
    <w:p>
      <w:pPr>
        <w:adjustRightInd w:val="0"/>
        <w:spacing w:line="360" w:lineRule="auto"/>
        <w:ind w:left="105" w:leftChars="50" w:firstLine="640" w:firstLineChars="200"/>
        <w:rPr>
          <w:rFonts w:hint="eastAsia" w:ascii="仿宋" w:hAnsi="仿宋" w:eastAsia="仿宋" w:cs="仿宋"/>
          <w:bCs/>
          <w:sz w:val="32"/>
          <w:szCs w:val="32"/>
        </w:rPr>
      </w:pPr>
    </w:p>
    <w:p>
      <w:bookmarkStart w:id="0" w:name="_GoBack"/>
      <w:bookmarkEnd w:id="0"/>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0961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2020-06-18T05:53:54Z</dcterms:created>
  <dc:creator>ym</dc:creator>
  <cp:lastModifiedBy>大洋</cp:lastModifiedBy>
  <dcterms:modified xsi:type="dcterms:W3CDTF">2020-06-18T05:54:08Z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