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农机购置补贴工作暨农机系统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反腐倡廉教育制度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一、落实方案、构建机制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ascii="仿宋" w:hAnsi="仿宋" w:eastAsia="仿宋"/>
          <w:color w:val="000000"/>
          <w:sz w:val="32"/>
          <w:szCs w:val="32"/>
        </w:rPr>
        <w:t>开展反腐倡廉教育</w:t>
      </w:r>
      <w:r>
        <w:rPr>
          <w:rFonts w:hint="eastAsia" w:ascii="仿宋" w:hAnsi="仿宋" w:eastAsia="仿宋"/>
          <w:color w:val="000000"/>
          <w:sz w:val="32"/>
          <w:szCs w:val="32"/>
        </w:rPr>
        <w:t>，组织农机购置补贴人员认真学习《中国共产党廉洁自律准则》和《中国共产党纪律处分条例》，</w:t>
      </w:r>
      <w:r>
        <w:rPr>
          <w:rFonts w:ascii="仿宋" w:hAnsi="仿宋" w:eastAsia="仿宋"/>
          <w:color w:val="000000"/>
          <w:sz w:val="32"/>
          <w:szCs w:val="32"/>
        </w:rPr>
        <w:t>加强反腐倡廉教育和廉政文化建设，坚定理想信念，促进廉洁自律，切实转变作风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二、深入排查廉政风险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要针对农机购置补贴政策实施工作全过程，对该项工作涉及到的每个岗位、每个人员的职责定位，工作流程进行认真梳理排查，分析可能发生廉政风险，按照风险发生程度确定相应的风险等级，区分轻重，实施分类防控管理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三、着力实现权力制约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要突出对农机购置补贴关健和重点工作人员的监督管理，着力规范分档定补、系统管理、绩效考核、违规处理等行为。全面公开信息，加强部门合作，强化程序监督，部门监督和社会监督。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四、切实加强制度建设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围绕农机购置补贴重点工作和关健环节，针对排查出的廉政风险点，建立健全有效防控廉政风险的制度规范。</w:t>
      </w:r>
    </w:p>
    <w:p>
      <w:pPr>
        <w:ind w:firstLine="640" w:firstLineChars="20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五、构建防控长效机制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要把开展经常性的反腐倡廉警示教育，列为农机购置补贴廉政风险防控机制建设的重要内容。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</Words>
  <Characters>379</Characters>
  <Lines>3</Lines>
  <Paragraphs>1</Paragraphs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2019-01-15T08:06:00Z</dcterms:created>
  <dc:creator>Administrator</dc:creator>
  <cp:lastModifiedBy>002</cp:lastModifiedBy>
  <dcterms:modified xsi:type="dcterms:W3CDTF">2020-02-18T07:37:28Z</dcterms:modified>
  <dc:title>农机购置补贴工作暨农机系统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