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44F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cs="宋体"/>
          <w:b/>
          <w:bCs/>
          <w:color w:val="000000"/>
          <w:sz w:val="44"/>
          <w:szCs w:val="44"/>
          <w:lang w:bidi="zh-TW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  <w:lang w:val="zh-TW" w:bidi="zh-TW"/>
        </w:rPr>
        <w:t>双阳区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bidi="zh-TW"/>
        </w:rPr>
        <w:t>202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 w:bidi="zh-TW"/>
        </w:rPr>
        <w:t>4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bidi="zh-TW"/>
        </w:rPr>
        <w:t>年中央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 w:bidi="zh-TW"/>
        </w:rPr>
        <w:t>农业生态资源保护资金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bidi="zh-TW"/>
        </w:rPr>
        <w:t>（农作物秸秆综合利用）项目实施方案</w:t>
      </w:r>
    </w:p>
    <w:p w14:paraId="12A860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</w:pPr>
    </w:p>
    <w:p w14:paraId="65ACFB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eastAsia="zh-CN"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为促进我区农作物秸秆综合利用，提高秸秆综合利用水平，强化农业生态环境治理，根据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吉林省农业农村厅、吉林省财政厅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eastAsia="zh-TW" w:bidi="zh-TW"/>
        </w:rPr>
        <w:t>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关于下发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年中央财政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粮油生产保障等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项目实施方案（指南）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eastAsia="zh-TW" w:bidi="zh-TW"/>
        </w:rPr>
        <w:t>的通知》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（吉农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计财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〔202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）文件2024 年中央农业生态资源保护资金（农作物秸秆综合利用）项目实施方案（指南）的部署安排，结合我区实际，制定《双阳区202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年中央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生态资源保护资金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（农作物秸秆综合利用）项目实施方案》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eastAsia="zh-CN" w:bidi="zh-TW"/>
        </w:rPr>
        <w:t>。</w:t>
      </w:r>
    </w:p>
    <w:p w14:paraId="3C56CBBD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黑体" w:hAnsi="黑体" w:eastAsia="黑体" w:cs="宋体"/>
          <w:b/>
          <w:bCs/>
          <w:color w:val="000000"/>
          <w:sz w:val="32"/>
          <w:szCs w:val="32"/>
          <w:lang w:val="zh-TW" w:bidi="zh-TW"/>
        </w:rPr>
      </w:pPr>
      <w:r>
        <w:rPr>
          <w:rFonts w:hint="eastAsia" w:ascii="黑体" w:hAnsi="黑体" w:eastAsia="黑体" w:cs="宋体"/>
          <w:b/>
          <w:bCs/>
          <w:color w:val="000000"/>
          <w:sz w:val="32"/>
          <w:szCs w:val="32"/>
          <w:lang w:val="zh-TW" w:bidi="zh-TW"/>
        </w:rPr>
        <w:t>工作目标</w:t>
      </w:r>
    </w:p>
    <w:p w14:paraId="46849F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建设秸秆综合利用重点县1个，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建设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个秸秆综合利用展示基地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zh-TW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年秸秆综合利用率达到90%以上。</w:t>
      </w:r>
    </w:p>
    <w:p w14:paraId="51FBBCF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ascii="黑体" w:hAnsi="黑体" w:eastAsia="黑体" w:cs="宋体"/>
          <w:b/>
          <w:bCs/>
          <w:color w:val="000000"/>
          <w:sz w:val="32"/>
          <w:szCs w:val="32"/>
          <w:lang w:val="zh-TW" w:bidi="zh-TW"/>
        </w:rPr>
      </w:pPr>
      <w:r>
        <w:rPr>
          <w:rFonts w:hint="eastAsia" w:ascii="黑体" w:hAnsi="黑体" w:eastAsia="黑体" w:cs="宋体"/>
          <w:b/>
          <w:bCs/>
          <w:color w:val="000000"/>
          <w:sz w:val="32"/>
          <w:szCs w:val="32"/>
          <w:lang w:val="zh-TW" w:bidi="zh-TW"/>
        </w:rPr>
        <w:t>补助内容</w:t>
      </w:r>
    </w:p>
    <w:p w14:paraId="65757F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（一）补助对象</w:t>
      </w:r>
    </w:p>
    <w:p w14:paraId="59C369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重点支持承担秸秆“五化”利用的个人、企业和新型农业经营主体。</w:t>
      </w:r>
    </w:p>
    <w:p w14:paraId="35AC0F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（二）资金安排</w:t>
      </w:r>
    </w:p>
    <w:p w14:paraId="7EFA77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年中央财政农业资源与生态保护补助项目资金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270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万元。</w:t>
      </w:r>
    </w:p>
    <w:p w14:paraId="0CC3732B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补助资金使用原则及范围</w:t>
      </w:r>
    </w:p>
    <w:p w14:paraId="3780D11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 xml:space="preserve">    经区发改局、区农业农村局、区工信局、区畜牧局共同会商，确定秸秆“五化”利用项目资金使用原则及范围如下。</w:t>
      </w:r>
    </w:p>
    <w:p w14:paraId="55EEE8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bidi="zh-TW"/>
        </w:rPr>
        <w:t xml:space="preserve"> 秸秆综合利用展示基地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 w:eastAsia="zh-CN" w:bidi="zh-TW"/>
        </w:rPr>
        <w:t>建设资金40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bidi="zh-TW"/>
        </w:rPr>
        <w:t>万元。</w:t>
      </w:r>
    </w:p>
    <w:p w14:paraId="2A4471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选择基础条件好的田块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zh-TW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秸秆综合利用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企业或主体，建设 4 个秸秆综合利用展示基地，示范展示秸秆利用新技术新成果，推广应用可操作、能落地的秸秆利用模式。基地统一竖立“2024 年全国秸秆综合利用展示基地”标牌。每个基地安排资金10 万元，用于组织宣传培训、编写技术模式、标牌制作等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zh-TW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其中区农业科学技术推广站负责建设秸秆产业化模式基地1个，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区</w:t>
      </w:r>
      <w:r>
        <w:rPr>
          <w:rFonts w:hint="eastAsia" w:ascii="仿宋_GB2312" w:eastAsia="仿宋_GB2312"/>
          <w:color w:val="000000"/>
          <w:sz w:val="32"/>
          <w:szCs w:val="32"/>
        </w:rPr>
        <w:t>农业机械化技术推广站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负责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建设玉米秸秆、水稻秸秆还田模式基地3个。</w:t>
      </w:r>
    </w:p>
    <w:p w14:paraId="15DC73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0" w:firstLineChars="196"/>
        <w:textAlignment w:val="auto"/>
        <w:rPr>
          <w:rFonts w:hint="eastAsia" w:ascii="仿宋_GB2312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/>
          <w:sz w:val="32"/>
          <w:szCs w:val="32"/>
          <w:lang w:val="en-US" w:eastAsia="zh-CN"/>
        </w:rPr>
        <w:t>2.秸秆产业化利用补贴170万元。</w:t>
      </w:r>
    </w:p>
    <w:p w14:paraId="4B9F18A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 xml:space="preserve">    对利用2024 年区内自产秸秆500 吨（含 500 吨）以上的秸秆综合利用主体，根据实际利用秸秆量，分别给予不超过 60 元/吨、48 元/吨、36 元/吨的补贴。为鼓励企业多利用秸秆，在原有奖补额度基础上，对超出 1 万吨部分提高10%、超出3万吨部分提高30%、超出5万吨部分提高40%、超出 10 万吨部分提高 60%（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区农业科学技术推广站牵头负责实施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）。</w:t>
      </w:r>
    </w:p>
    <w:p w14:paraId="5D30E8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/>
          <w:sz w:val="32"/>
          <w:szCs w:val="32"/>
        </w:rPr>
        <w:t>.秸秆“饲料化”利用补贴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60</w:t>
      </w:r>
      <w:r>
        <w:rPr>
          <w:rFonts w:hint="eastAsia" w:ascii="仿宋_GB2312" w:eastAsia="仿宋_GB2312"/>
          <w:b/>
          <w:color w:val="000000"/>
          <w:sz w:val="32"/>
          <w:szCs w:val="32"/>
        </w:rPr>
        <w:t>万元</w:t>
      </w:r>
      <w:r>
        <w:rPr>
          <w:rFonts w:hint="eastAsia" w:ascii="仿宋_GB2312" w:eastAsia="仿宋_GB2312"/>
          <w:b/>
          <w:sz w:val="32"/>
          <w:szCs w:val="32"/>
        </w:rPr>
        <w:t>。</w:t>
      </w:r>
    </w:p>
    <w:p w14:paraId="46A9C8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ascii="仿宋_GB2312" w:hAnsi="宋体" w:eastAsia="仿宋_GB2312"/>
          <w:color w:val="000000"/>
          <w:kern w:val="0"/>
          <w:sz w:val="32"/>
          <w:szCs w:val="32"/>
          <w:lang w:bidi="ar"/>
        </w:rPr>
        <w:t>对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val="en-US" w:eastAsia="zh-CN" w:bidi="ar"/>
        </w:rPr>
        <w:t>秸秆饲料加工主体新建、改扩建砖石或混凝土结构的单体黄（青）贮窖，面积 500 立方米以上的，单户收贮秸秆黄（青）贮发酵饲料 100吨以上的，单户收贮秸秆干饲料 50 吨以上的给予补贴。秸秆饲料化利用补贴不得与上述产业化利用项目重复享受补贴。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bidi="zh-TW"/>
        </w:rPr>
        <w:t>（区畜牧业管理局牵头负责实施）</w:t>
      </w:r>
      <w:r>
        <w:rPr>
          <w:rFonts w:hint="eastAsia" w:ascii="仿宋_GB2312" w:eastAsia="仿宋_GB2312"/>
          <w:sz w:val="32"/>
          <w:szCs w:val="32"/>
          <w:highlight w:val="none"/>
        </w:rPr>
        <w:t>。</w:t>
      </w:r>
    </w:p>
    <w:p w14:paraId="069FB1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以上牵头单位负责制定具体实施方案，细化补贴标准、项目验收流程、项目资金拨付等环节，所有补贴项目在202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底</w:t>
      </w:r>
      <w:r>
        <w:rPr>
          <w:rFonts w:hint="eastAsia" w:ascii="仿宋_GB2312" w:eastAsia="仿宋_GB2312"/>
          <w:sz w:val="32"/>
          <w:szCs w:val="32"/>
        </w:rPr>
        <w:t>前实施完毕。</w:t>
      </w:r>
    </w:p>
    <w:p w14:paraId="46AA0B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（四）资金结算方式</w:t>
      </w:r>
    </w:p>
    <w:p w14:paraId="5F08A2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用于上述秸秆综合利用项目的补贴资金实行总量控制、统筹使用，</w:t>
      </w:r>
      <w:r>
        <w:rPr>
          <w:rFonts w:hint="eastAsia" w:ascii="仿宋_GB2312" w:eastAsia="仿宋_GB2312"/>
          <w:sz w:val="32"/>
          <w:szCs w:val="32"/>
        </w:rPr>
        <w:t>如项目补贴资金有剩余，则用于补贴资金不够的项目。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所有项目采取“先作业后补助”的方式，经项目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牵头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单位验收合格后兑付资金。</w:t>
      </w:r>
    </w:p>
    <w:p w14:paraId="279D372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ascii="黑体" w:hAnsi="黑体" w:eastAsia="黑体" w:cs="宋体"/>
          <w:b/>
          <w:bCs/>
          <w:color w:val="000000"/>
          <w:sz w:val="32"/>
          <w:szCs w:val="32"/>
          <w:lang w:val="zh-TW" w:bidi="zh-TW"/>
        </w:rPr>
      </w:pPr>
      <w:r>
        <w:rPr>
          <w:rFonts w:hint="eastAsia" w:ascii="黑体" w:hAnsi="黑体" w:eastAsia="黑体" w:cs="宋体"/>
          <w:b/>
          <w:bCs/>
          <w:color w:val="000000"/>
          <w:sz w:val="32"/>
          <w:szCs w:val="32"/>
          <w:lang w:val="zh-TW" w:bidi="zh-TW"/>
        </w:rPr>
        <w:t>保障措施</w:t>
      </w:r>
    </w:p>
    <w:p w14:paraId="2A023572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加强组织领导</w:t>
      </w:r>
    </w:p>
    <w:p w14:paraId="650C3F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  <w:lang w:bidi="zh-TW"/>
        </w:rPr>
        <w:t>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项目单位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zh-TW"/>
        </w:rPr>
        <w:t>严格按照“党政同责、一岗 双责”的要求，成立专项工作领导小组，强化对综合利用工作的组织领导和统筹协调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明确责任，强化措施，确保秸秆利用工作落实落地。</w:t>
      </w:r>
    </w:p>
    <w:p w14:paraId="59C7C518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zh-TW"/>
        </w:rPr>
        <w:t>加强宣传培训</w:t>
      </w:r>
    </w:p>
    <w:p w14:paraId="38BE4F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充分利用广播、电视、报刊、网站、微信、微短视频等媒体，通过现场会、培训班等方式，大力宣传秸秆综合利用政策，强化技术培训，提升秸秆处理企业、合作社和广大农民群众参与秸秆处理的积极性、主动性和自觉性。</w:t>
      </w:r>
    </w:p>
    <w:p w14:paraId="28FFD2A8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加强资金管理</w:t>
      </w:r>
    </w:p>
    <w:p w14:paraId="3BD637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  <w:lang w:bidi="zh-TW"/>
        </w:rPr>
        <w:t>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项目单位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要加强项目资金管理，做到项目资金专款专用，并建立好相关台账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eastAsia="zh-CN" w:bidi="zh-TW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  <w:t>对拟奖补对象、奖补资金分配结果等予以公示，确保公开透明、阳光操作，接受社会监督。</w:t>
      </w:r>
    </w:p>
    <w:p w14:paraId="78FF02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</w:pPr>
    </w:p>
    <w:p w14:paraId="667CE1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</w:pPr>
    </w:p>
    <w:p w14:paraId="324F8D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 w:bidi="zh-TW"/>
        </w:rPr>
      </w:pPr>
    </w:p>
    <w:p w14:paraId="100E9B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 w:bidi="zh-TW"/>
        </w:rPr>
        <w:drawing>
          <wp:inline distT="0" distB="0" distL="114300" distR="114300">
            <wp:extent cx="5265420" cy="4114800"/>
            <wp:effectExtent l="0" t="0" r="7620" b="0"/>
            <wp:docPr id="1" name="图片 1" descr="展示基地样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展示基地样式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49A8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0AEB65"/>
    <w:multiLevelType w:val="singleLevel"/>
    <w:tmpl w:val="280AEB6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3FD5BD3"/>
    <w:multiLevelType w:val="singleLevel"/>
    <w:tmpl w:val="33FD5BD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7955EDA"/>
    <w:multiLevelType w:val="singleLevel"/>
    <w:tmpl w:val="37955ED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B74F8"/>
    <w:rsid w:val="14AB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2024-11-18T01:52:00Z</dcterms:created>
  <dc:creator>Administrator</dc:creator>
  <cp:lastModifiedBy>Administrator</cp:lastModifiedBy>
  <dcterms:modified xsi:type="dcterms:W3CDTF">2024-11-18T01:53:42Z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63C65BD49FC440CDA61AFC3E0995D76B_11</vt:lpwstr>
  </property>
</Properties>
</file>